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715442.xml.htm"/>
      <w:bookmarkStart w:id="1" w:name="kswkform4_17907154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Miller Harley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EQUIPMENTSHARE.COM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5710 BULL RUN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EquipmentShare.com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EQPT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14,409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14,409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granted to the reporting person on September 25, 2026 as compensation for service as a director. The RSUs will vest on the earlier of (1) the date of Equipmentshare.com Inc's annual meeting of stockholders in 2027, (2) one year from the date of grant, or (3) a change of control, each subject to the reporting person's continued service as a director on the Board of Directors of Equipmentshare.com Inc through the vesting date. Each RSU represents a contingent right to receive one share of Class A common stock of Equipmentshare.com Inc.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/s/John Griffin, attorney-in-fact for Harley Miller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1123" TargetMode="External"/><Relationship Id="rId5" Type="http://schemas.openxmlformats.org/officeDocument/2006/relationships/hyperlink" Target="http://www.sec.gov/cgi-bin/browse-edgar?action=getcompany&amp;CIK=00016937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663</Words>
  <Characters>3589</Characters>
  <CharactersWithSpaces>4184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