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1143000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tbl>
      <w:tblPr>
        <w:tblLayout w:type="fixed"/>
        <w:tblInd w:w="1200" w:type="dxa"/>
        <w:tblCellMar>
          <w:top w:w="0" w:type="dxa"/>
          <w:left w:w="0" w:type="dxa"/>
          <w:bottom w:w="0" w:type="dxa"/>
          <w:right w:w="0" w:type="dxa"/>
        </w:tblCellMar>
      </w:tblPr>
      <w:tr>
        <w:trPr>
          <w:trHeight w:val="334"/>
        </w:trPr>
        <w:tc>
          <w:tcPr>
            <w:tcW w:w="1540" w:type="dxa"/>
            <w:vAlign w:val="bottom"/>
          </w:tcPr>
          <w:p>
            <w:pPr>
              <w:spacing w:after="0"/>
              <w:rPr>
                <w:sz w:val="24"/>
                <w:szCs w:val="24"/>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25"/>
                <w:szCs w:val="25"/>
                <w:b w:val="1"/>
                <w:bCs w:val="1"/>
                <w:color w:val="auto"/>
                <w:w w:val="98"/>
              </w:rPr>
              <w:t>UNITED STATES</w:t>
            </w:r>
          </w:p>
        </w:tc>
      </w:tr>
      <w:tr>
        <w:trPr>
          <w:trHeight w:val="351"/>
        </w:trPr>
        <w:tc>
          <w:tcPr>
            <w:tcW w:w="1540" w:type="dxa"/>
            <w:vAlign w:val="bottom"/>
          </w:tcPr>
          <w:p>
            <w:pPr>
              <w:spacing w:after="0"/>
              <w:rPr>
                <w:sz w:val="24"/>
                <w:szCs w:val="24"/>
                <w:color w:val="auto"/>
              </w:rPr>
            </w:pPr>
          </w:p>
        </w:tc>
        <w:tc>
          <w:tcPr>
            <w:tcW w:w="7660" w:type="dxa"/>
            <w:vAlign w:val="bottom"/>
          </w:tcPr>
          <w:p>
            <w:pPr>
              <w:jc w:val="center"/>
              <w:ind w:right="1785"/>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239"/>
        </w:trPr>
        <w:tc>
          <w:tcPr>
            <w:tcW w:w="1540" w:type="dxa"/>
            <w:vAlign w:val="bottom"/>
          </w:tcPr>
          <w:p>
            <w:pPr>
              <w:spacing w:after="0"/>
              <w:rPr>
                <w:sz w:val="20"/>
                <w:szCs w:val="20"/>
                <w:color w:val="auto"/>
              </w:rPr>
            </w:pPr>
          </w:p>
        </w:tc>
        <w:tc>
          <w:tcPr>
            <w:tcW w:w="7660" w:type="dxa"/>
            <w:vAlign w:val="bottom"/>
          </w:tcPr>
          <w:p>
            <w:pPr>
              <w:jc w:val="center"/>
              <w:ind w:right="1785"/>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38"/>
        </w:trPr>
        <w:tc>
          <w:tcPr>
            <w:tcW w:w="1540" w:type="dxa"/>
            <w:vAlign w:val="bottom"/>
          </w:tcPr>
          <w:p>
            <w:pPr>
              <w:spacing w:after="0"/>
              <w:rPr>
                <w:sz w:val="20"/>
                <w:szCs w:val="20"/>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r>
      <w:tr>
        <w:trPr>
          <w:trHeight w:val="437"/>
        </w:trPr>
        <w:tc>
          <w:tcPr>
            <w:tcW w:w="1540" w:type="dxa"/>
            <w:vAlign w:val="bottom"/>
          </w:tcPr>
          <w:p>
            <w:pPr>
              <w:spacing w:after="0"/>
              <w:rPr>
                <w:sz w:val="24"/>
                <w:szCs w:val="24"/>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25"/>
                <w:szCs w:val="25"/>
                <w:b w:val="1"/>
                <w:bCs w:val="1"/>
                <w:color w:val="auto"/>
              </w:rPr>
              <w:t>FORM 8-K</w:t>
            </w:r>
          </w:p>
        </w:tc>
      </w:tr>
      <w:tr>
        <w:trPr>
          <w:trHeight w:val="238"/>
        </w:trPr>
        <w:tc>
          <w:tcPr>
            <w:tcW w:w="1540" w:type="dxa"/>
            <w:vAlign w:val="bottom"/>
          </w:tcPr>
          <w:p>
            <w:pPr>
              <w:spacing w:after="0"/>
              <w:rPr>
                <w:sz w:val="20"/>
                <w:szCs w:val="20"/>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tc>
      </w:tr>
      <w:tr>
        <w:trPr>
          <w:trHeight w:val="270"/>
        </w:trPr>
        <w:tc>
          <w:tcPr>
            <w:tcW w:w="1540" w:type="dxa"/>
            <w:vAlign w:val="bottom"/>
          </w:tcPr>
          <w:p>
            <w:pPr>
              <w:spacing w:after="0"/>
              <w:rPr>
                <w:sz w:val="23"/>
                <w:szCs w:val="23"/>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r>
      <w:tr>
        <w:trPr>
          <w:trHeight w:val="599"/>
        </w:trPr>
        <w:tc>
          <w:tcPr>
            <w:tcW w:w="1540" w:type="dxa"/>
            <w:vAlign w:val="bottom"/>
          </w:tcPr>
          <w:p>
            <w:pPr>
              <w:spacing w:after="0"/>
              <w:rPr>
                <w:sz w:val="24"/>
                <w:szCs w:val="24"/>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r>
      <w:tr>
        <w:trPr>
          <w:trHeight w:val="238"/>
        </w:trPr>
        <w:tc>
          <w:tcPr>
            <w:tcW w:w="1540" w:type="dxa"/>
            <w:vAlign w:val="bottom"/>
          </w:tcPr>
          <w:p>
            <w:pPr>
              <w:spacing w:after="0"/>
              <w:rPr>
                <w:sz w:val="20"/>
                <w:szCs w:val="20"/>
                <w:color w:val="auto"/>
              </w:rPr>
            </w:pPr>
          </w:p>
        </w:tc>
        <w:tc>
          <w:tcPr>
            <w:tcW w:w="7660" w:type="dxa"/>
            <w:vAlign w:val="bottom"/>
          </w:tcPr>
          <w:p>
            <w:pPr>
              <w:jc w:val="center"/>
              <w:ind w:right="1785"/>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r>
      <w:tr>
        <w:trPr>
          <w:trHeight w:val="459"/>
        </w:trPr>
        <w:tc>
          <w:tcPr>
            <w:tcW w:w="1540" w:type="dxa"/>
            <w:vAlign w:val="bottom"/>
          </w:tcPr>
          <w:p>
            <w:pPr>
              <w:spacing w:after="0"/>
              <w:rPr>
                <w:sz w:val="24"/>
                <w:szCs w:val="24"/>
                <w:color w:val="auto"/>
              </w:rPr>
            </w:pPr>
          </w:p>
        </w:tc>
        <w:tc>
          <w:tcPr>
            <w:tcW w:w="7660" w:type="dxa"/>
            <w:vAlign w:val="bottom"/>
          </w:tcPr>
          <w:p>
            <w:pPr>
              <w:jc w:val="center"/>
              <w:ind w:right="1785"/>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June 16, 2026</w:t>
            </w:r>
          </w:p>
        </w:tc>
      </w:tr>
      <w:tr>
        <w:trPr>
          <w:trHeight w:val="234"/>
        </w:trPr>
        <w:tc>
          <w:tcPr>
            <w:tcW w:w="1540" w:type="dxa"/>
            <w:vAlign w:val="bottom"/>
          </w:tcPr>
          <w:p>
            <w:pPr>
              <w:spacing w:after="0"/>
              <w:rPr>
                <w:sz w:val="20"/>
                <w:szCs w:val="20"/>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188"/>
        </w:trPr>
        <w:tc>
          <w:tcPr>
            <w:tcW w:w="1540" w:type="dxa"/>
            <w:vAlign w:val="bottom"/>
          </w:tcPr>
          <w:p>
            <w:pPr>
              <w:spacing w:after="0"/>
              <w:rPr>
                <w:sz w:val="16"/>
                <w:szCs w:val="16"/>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4"/>
                <w:szCs w:val="14"/>
                <w:color w:val="auto"/>
              </w:rPr>
              <w:t>Commission File Number 001-43062</w:t>
            </w:r>
          </w:p>
        </w:tc>
      </w:tr>
      <w:tr>
        <w:trPr>
          <w:trHeight w:val="463"/>
        </w:trPr>
        <w:tc>
          <w:tcPr>
            <w:tcW w:w="1540" w:type="dxa"/>
            <w:vAlign w:val="bottom"/>
          </w:tcPr>
          <w:p>
            <w:pPr>
              <w:spacing w:after="0"/>
              <w:rPr>
                <w:sz w:val="24"/>
                <w:szCs w:val="24"/>
                <w:color w:val="auto"/>
              </w:rPr>
            </w:pPr>
          </w:p>
        </w:tc>
        <w:tc>
          <w:tcPr>
            <w:tcW w:w="7660" w:type="dxa"/>
            <w:vAlign w:val="bottom"/>
          </w:tcPr>
          <w:p>
            <w:pPr>
              <w:jc w:val="center"/>
              <w:ind w:right="1785"/>
              <w:spacing w:after="0"/>
              <w:rPr>
                <w:sz w:val="20"/>
                <w:szCs w:val="20"/>
                <w:color w:val="auto"/>
              </w:rPr>
            </w:pPr>
            <w:r>
              <w:rPr>
                <w:rFonts w:ascii="Times New Roman" w:cs="Times New Roman" w:eastAsia="Times New Roman" w:hAnsi="Times New Roman"/>
                <w:sz w:val="29"/>
                <w:szCs w:val="29"/>
                <w:b w:val="1"/>
                <w:bCs w:val="1"/>
                <w:color w:val="auto"/>
                <w:w w:val="98"/>
              </w:rPr>
              <w:t>EquipmentShare.com Inc</w:t>
            </w:r>
          </w:p>
        </w:tc>
      </w:tr>
      <w:tr>
        <w:trPr>
          <w:trHeight w:val="280"/>
        </w:trPr>
        <w:tc>
          <w:tcPr>
            <w:tcW w:w="1540" w:type="dxa"/>
            <w:vAlign w:val="bottom"/>
          </w:tcPr>
          <w:p>
            <w:pPr>
              <w:spacing w:after="0"/>
              <w:rPr>
                <w:sz w:val="24"/>
                <w:szCs w:val="24"/>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267"/>
        </w:trPr>
        <w:tc>
          <w:tcPr>
            <w:tcW w:w="1540" w:type="dxa"/>
            <w:vAlign w:val="bottom"/>
          </w:tcPr>
          <w:p>
            <w:pPr>
              <w:spacing w:after="0"/>
              <w:rPr>
                <w:sz w:val="23"/>
                <w:szCs w:val="23"/>
                <w:color w:val="auto"/>
              </w:rPr>
            </w:pPr>
          </w:p>
        </w:tc>
        <w:tc>
          <w:tcPr>
            <w:tcW w:w="7660" w:type="dxa"/>
            <w:vAlign w:val="bottom"/>
          </w:tcPr>
          <w:p>
            <w:pPr>
              <w:jc w:val="center"/>
              <w:ind w:right="1805"/>
              <w:spacing w:after="0"/>
              <w:rPr>
                <w:sz w:val="20"/>
                <w:szCs w:val="20"/>
                <w:color w:val="auto"/>
              </w:rPr>
            </w:pPr>
            <w:r>
              <w:rPr>
                <w:rFonts w:ascii="Times New Roman" w:cs="Times New Roman" w:eastAsia="Times New Roman" w:hAnsi="Times New Roman"/>
                <w:sz w:val="18"/>
                <w:szCs w:val="18"/>
                <w:color w:val="auto"/>
              </w:rPr>
              <w:t>___________________________________</w:t>
            </w:r>
          </w:p>
        </w:tc>
      </w:tr>
      <w:tr>
        <w:trPr>
          <w:trHeight w:val="463"/>
        </w:trPr>
        <w:tc>
          <w:tcPr>
            <w:tcW w:w="1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Texas</w:t>
            </w:r>
          </w:p>
        </w:tc>
        <w:tc>
          <w:tcPr>
            <w:tcW w:w="7660" w:type="dxa"/>
            <w:vAlign w:val="bottom"/>
          </w:tcPr>
          <w:p>
            <w:pPr>
              <w:jc w:val="right"/>
              <w:ind w:right="585"/>
              <w:spacing w:after="0"/>
              <w:rPr>
                <w:sz w:val="20"/>
                <w:szCs w:val="20"/>
                <w:color w:val="auto"/>
              </w:rPr>
            </w:pPr>
            <w:r>
              <w:rPr>
                <w:rFonts w:ascii="Times New Roman" w:cs="Times New Roman" w:eastAsia="Times New Roman" w:hAnsi="Times New Roman"/>
                <w:sz w:val="14"/>
                <w:szCs w:val="14"/>
                <w:b w:val="1"/>
                <w:bCs w:val="1"/>
                <w:color w:val="auto"/>
              </w:rPr>
              <w:t>47-2405753</w:t>
            </w:r>
          </w:p>
        </w:tc>
      </w:tr>
      <w:tr>
        <w:trPr>
          <w:trHeight w:val="392"/>
        </w:trPr>
        <w:tc>
          <w:tcPr>
            <w:tcW w:w="15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rPr>
              <w:t>(State of Incorporation)</w:t>
            </w:r>
          </w:p>
        </w:tc>
        <w:tc>
          <w:tcPr>
            <w:tcW w:w="7660" w:type="dxa"/>
            <w:vAlign w:val="bottom"/>
          </w:tcPr>
          <w:p>
            <w:pPr>
              <w:jc w:val="center"/>
              <w:ind w:left="5485"/>
              <w:spacing w:after="0"/>
              <w:rPr>
                <w:sz w:val="20"/>
                <w:szCs w:val="20"/>
                <w:color w:val="auto"/>
              </w:rPr>
            </w:pPr>
            <w:r>
              <w:rPr>
                <w:rFonts w:ascii="Times New Roman" w:cs="Times New Roman" w:eastAsia="Times New Roman" w:hAnsi="Times New Roman"/>
                <w:sz w:val="14"/>
                <w:szCs w:val="14"/>
                <w:color w:val="auto"/>
              </w:rPr>
              <w:t>(I.R.S. Employer Identification No.)</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5710 Bull Run Dr</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Columbia, Missouri, 65201</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(573) 299-5222</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1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580" w:hanging="376"/>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00" w:type="dxa"/>
            <w:vAlign w:val="bottom"/>
          </w:tcPr>
          <w:p>
            <w:pPr>
              <w:spacing w:after="0"/>
              <w:rPr>
                <w:sz w:val="16"/>
                <w:szCs w:val="16"/>
                <w:color w:val="auto"/>
              </w:rPr>
            </w:pPr>
          </w:p>
        </w:tc>
      </w:tr>
      <w:tr>
        <w:trPr>
          <w:trHeight w:val="338"/>
        </w:trPr>
        <w:tc>
          <w:tcPr>
            <w:tcW w:w="3760" w:type="dxa"/>
            <w:vAlign w:val="bottom"/>
            <w:gridSpan w:val="2"/>
          </w:tcPr>
          <w:p>
            <w:pPr>
              <w:ind w:left="1320"/>
              <w:spacing w:after="0"/>
              <w:rPr>
                <w:sz w:val="20"/>
                <w:szCs w:val="20"/>
                <w:color w:val="auto"/>
              </w:rPr>
            </w:pPr>
            <w:r>
              <w:rPr>
                <w:rFonts w:ascii="Times New Roman" w:cs="Times New Roman" w:eastAsia="Times New Roman" w:hAnsi="Times New Roman"/>
                <w:sz w:val="14"/>
                <w:szCs w:val="14"/>
                <w:color w:val="auto"/>
              </w:rPr>
              <w:t>Title of each class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9"/>
        </w:trPr>
        <w:tc>
          <w:tcPr>
            <w:tcW w:w="36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r>
      <w:tr>
        <w:trPr>
          <w:trHeight w:val="186"/>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Class A Common Stock, $0.00000125 par value</w:t>
            </w:r>
          </w:p>
        </w:tc>
        <w:tc>
          <w:tcPr>
            <w:tcW w:w="3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EQPT</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200" w:lineRule="exact"/>
        <w:rPr>
          <w:sz w:val="24"/>
          <w:szCs w:val="24"/>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12b-2 of the Exchange Act.</w:t>
      </w:r>
    </w:p>
    <w:p>
      <w:pPr>
        <w:spacing w:after="0" w:line="22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607060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351"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ectPr>
          <w:pgSz w:w="11900" w:h="16838" w:orient="portrait"/>
          <w:cols w:equalWidth="0" w:num="2">
            <w:col w:w="10440" w:space="400"/>
            <w:col w:w="400"/>
          </w:cols>
          <w:pgMar w:left="320" w:top="1440" w:right="339" w:bottom="1440" w:gutter="0" w:footer="0" w:header="0"/>
          <w:type w:val="continuous"/>
        </w:sectPr>
      </w:pPr>
    </w:p>
    <w:bookmarkStart w:id="1" w:name="page2"/>
    <w:bookmarkEnd w:id="1"/>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0" w:lineRule="exact"/>
        <w:rPr>
          <w:sz w:val="20"/>
          <w:szCs w:val="20"/>
          <w:color w:val="auto"/>
        </w:rPr>
      </w:pPr>
    </w:p>
    <w:p>
      <w:pPr>
        <w:spacing w:after="0" w:line="21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June 16, 2026, EquipmentShare.com Inc (the “Company”) announced that it launched a private offering of $1,050 million aggregate principal amount of new senior secured second lien notes due 2034 (the “Notes”). The Notes will be offered in the United States (the “U.S.”) to qualified institutional investors pursuant to Rule 144A under the Securities Act of 1933, as amended (the “Securities Act”), and outside the U.S. to non-U.S. persons pursuant to Regulation S under the Securities Act.</w:t>
      </w:r>
    </w:p>
    <w:p>
      <w:pPr>
        <w:spacing w:after="0" w:line="126"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Company also issued a press release pursuant to Rule 135c under the Securities Act relating to the offering of the Notes. A copy of the press release is attached hereto as Exhibit 99.1 in accordance with Rule 135c(d) under the Securities Act, which is incorporated herein by reference. The foregoing is qualified by reference to the press release that is attached as Exhibit 99.1 to this Current Report on Form 8-K.</w:t>
      </w:r>
    </w:p>
    <w:p>
      <w:pPr>
        <w:spacing w:after="0" w:line="12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This Current Report on Form 8-K and the press release attached hereto as Exhibit 99.1 does not constitute an offer to sell or the solicitation of an offer to buy the Notes, nor shall there be any offer, solicitation or sale of the Notes in any jurisdiction in which such offer, solicitation or sale would be unlawful. The Notes will not be registered under the Securities Act or any securities laws of any state or other jurisdiction and, unless so registered, may not be offered or sold in the U.S. except pursuant to an exemption from the registration requirements of the Securities Act and applicable securities laws of any state or other jurisdiction.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estimates to have incurred an additional $555 million in borrowings under its asset-based revolving credit facility since March 31,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9460" w:type="dxa"/>
            <w:vAlign w:val="bottom"/>
            <w:gridSpan w:val="3"/>
            <w:vMerge w:val="restart"/>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80" w:type="dxa"/>
            <w:vAlign w:val="bottom"/>
            <w:tcBorders>
              <w:top w:val="single" w:sz="8" w:color="auto"/>
            </w:tcBorders>
          </w:tcPr>
          <w:p>
            <w:pPr>
              <w:jc w:val="right"/>
              <w:ind w:right="59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200" w:type="dxa"/>
            <w:vAlign w:val="bottom"/>
            <w:tcBorders>
              <w:top w:val="single" w:sz="8" w:color="auto"/>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9"/>
              </w:rPr>
              <w:t>Press release announcing the offering of the Notes, dated June 16, 2026.</w:t>
            </w:r>
          </w:p>
        </w:tc>
        <w:tc>
          <w:tcPr>
            <w:tcW w:w="4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6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33"/>
        </w:trPr>
        <w:tc>
          <w:tcPr>
            <w:tcW w:w="1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Company has duly caused this report to be signed on its behalf by the undersigned 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4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EquipmentShare.com Inc</w:t>
            </w:r>
          </w:p>
        </w:tc>
      </w:tr>
      <w:tr>
        <w:trPr>
          <w:trHeight w:val="49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16, 2026</w:t>
            </w:r>
          </w:p>
        </w:tc>
        <w:tc>
          <w:tcPr>
            <w:tcW w:w="3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Marquardt</w:t>
            </w:r>
          </w:p>
        </w:tc>
      </w:tr>
      <w:tr>
        <w:trPr>
          <w:trHeight w:val="218"/>
        </w:trPr>
        <w:tc>
          <w:tcPr>
            <w:tcW w:w="5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Name: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Marquardt</w:t>
            </w:r>
          </w:p>
        </w:tc>
      </w:tr>
      <w:tr>
        <w:trPr>
          <w:trHeight w:val="180"/>
        </w:trPr>
        <w:tc>
          <w:tcPr>
            <w:tcW w:w="58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and</w:t>
            </w:r>
          </w:p>
        </w:tc>
      </w:tr>
      <w:tr>
        <w:trPr>
          <w:trHeight w:val="243"/>
        </w:trPr>
        <w:tc>
          <w:tcPr>
            <w:tcW w:w="58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3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673735</wp:posOffset>
            </wp:positionV>
            <wp:extent cx="2408555" cy="762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08555" cy="76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5220"/>
        <w:spacing w:after="0" w:line="450" w:lineRule="auto"/>
        <w:rPr>
          <w:sz w:val="20"/>
          <w:szCs w:val="20"/>
          <w:color w:val="auto"/>
        </w:rPr>
      </w:pPr>
      <w:r>
        <w:rPr>
          <w:rFonts w:ascii="Times New Roman" w:cs="Times New Roman" w:eastAsia="Times New Roman" w:hAnsi="Times New Roman"/>
          <w:sz w:val="22"/>
          <w:szCs w:val="22"/>
          <w:b w:val="1"/>
          <w:bCs w:val="1"/>
          <w:color w:val="auto"/>
        </w:rPr>
        <w:t>EquipmentShare Announces Launch of Private Offering of Notes June 16, 2026</w:t>
      </w:r>
    </w:p>
    <w:p>
      <w:pPr>
        <w:ind w:right="180"/>
        <w:spacing w:after="0" w:line="268" w:lineRule="auto"/>
        <w:rPr>
          <w:sz w:val="20"/>
          <w:szCs w:val="20"/>
          <w:color w:val="auto"/>
        </w:rPr>
      </w:pPr>
      <w:r>
        <w:rPr>
          <w:rFonts w:ascii="Times New Roman" w:cs="Times New Roman" w:eastAsia="Times New Roman" w:hAnsi="Times New Roman"/>
          <w:sz w:val="21"/>
          <w:szCs w:val="21"/>
          <w:color w:val="auto"/>
        </w:rPr>
        <w:t>COLUMBIA, Mo. – EquipmentShare.com Inc (Nasdaq: EQPT) (“EquipmentShare”), a leader in connected jobsite technology and one of the largest construction equipment rental providers in the United States (the “U.S.”), announced today that it has launched a private offering (the “Offering”) of $1,050 million in aggregate principal amount of senior secured second lien notes due 2034 (the “Notes”). EquipmentShare intends to use the net proceeds from the Offering to repay borrowings under its asset-based revolving credit facility, pay fees and expenses in connection with the foregoing and for general corporate purposes.</w:t>
      </w:r>
    </w:p>
    <w:p>
      <w:pPr>
        <w:spacing w:after="0" w:line="164"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The Notes will be secured on a second priority basis by liens on substantially all of the assets that secure any first priority lien obligations of EquipmentShare.</w:t>
      </w:r>
    </w:p>
    <w:p>
      <w:pPr>
        <w:spacing w:after="0" w:line="158"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22"/>
          <w:szCs w:val="22"/>
          <w:color w:val="auto"/>
        </w:rPr>
        <w:t>The proposed transaction is subject to market conditions and other factors, and there can be no assurance as to whether or when these transactions may be completed, or as to the actual size or terms of the transactions.</w:t>
      </w:r>
    </w:p>
    <w:p>
      <w:pPr>
        <w:spacing w:after="0" w:line="14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21"/>
          <w:szCs w:val="21"/>
          <w:color w:val="auto"/>
        </w:rPr>
        <w:t>The Notes have not been and will not be registered under the Securities Act of 1933, as amended (the “Securities Act”), or any securities laws of any state or other jurisdiction and may not be offered or sold in the U.S. absent registration or an applicable exemption from registration under the Securities Act and applicable securities laws of any state or other jurisdiction. The Notes will be offered in the U.S. only to persons reasonably believed to be qualified institutional buyers pursuant to Rule 144A under the Securities Act and outside the U.S. to non-U.S. persons pursuant to Regulation S under the Securities Act.</w:t>
      </w:r>
    </w:p>
    <w:p>
      <w:pPr>
        <w:spacing w:after="0" w:line="17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2"/>
          <w:szCs w:val="22"/>
          <w:color w:val="auto"/>
        </w:rPr>
        <w:t>This press release does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EquipmentShare</w:t>
      </w:r>
    </w:p>
    <w:p>
      <w:pPr>
        <w:spacing w:after="0" w:line="224" w:lineRule="exact"/>
        <w:rPr>
          <w:sz w:val="20"/>
          <w:szCs w:val="20"/>
          <w:color w:val="auto"/>
        </w:rPr>
      </w:pPr>
    </w:p>
    <w:p>
      <w:pPr>
        <w:jc w:val="both"/>
        <w:ind w:right="580"/>
        <w:spacing w:after="0" w:line="263" w:lineRule="auto"/>
        <w:rPr>
          <w:sz w:val="20"/>
          <w:szCs w:val="20"/>
          <w:color w:val="auto"/>
        </w:rPr>
      </w:pPr>
      <w:r>
        <w:rPr>
          <w:rFonts w:ascii="Times New Roman" w:cs="Times New Roman" w:eastAsia="Times New Roman" w:hAnsi="Times New Roman"/>
          <w:sz w:val="22"/>
          <w:szCs w:val="22"/>
          <w:color w:val="auto"/>
        </w:rPr>
        <w:t>Founded in 2015 and headquartered in Columbia, Missouri, EquipmentShare (Nasdaq: EQPT) is a nationwide construction technology and equipment solutions provider dedicated to transforming the construction industry through innovative tools, platforms and data-driven insights. By empowering contractors, builders and equipment owners</w:t>
      </w:r>
    </w:p>
    <w:p>
      <w:pPr>
        <w:sectPr>
          <w:pgSz w:w="11900" w:h="16838" w:orient="portrait"/>
          <w:cols w:equalWidth="0" w:num="1">
            <w:col w:w="11240"/>
          </w:cols>
          <w:pgMar w:left="320" w:top="122" w:right="339" w:bottom="1440" w:gutter="0" w:footer="0" w:header="0"/>
        </w:sectPr>
      </w:pPr>
    </w:p>
    <w:bookmarkStart w:id="4" w:name="page5"/>
    <w:bookmarkEnd w:id="4"/>
    <w:p>
      <w:pPr>
        <w:ind w:right="100"/>
        <w:spacing w:after="0" w:line="266" w:lineRule="exact"/>
        <w:rPr>
          <w:sz w:val="20"/>
          <w:szCs w:val="20"/>
          <w:color w:val="auto"/>
        </w:rPr>
      </w:pPr>
      <w:r>
        <w:rPr>
          <w:rFonts w:ascii="Times New Roman" w:cs="Times New Roman" w:eastAsia="Times New Roman" w:hAnsi="Times New Roman"/>
          <w:sz w:val="21"/>
          <w:szCs w:val="21"/>
          <w:color w:val="auto"/>
        </w:rPr>
        <w:t xml:space="preserve">with its proprietary technology, </w:t>
      </w:r>
      <w:r>
        <w:rPr>
          <w:rFonts w:ascii="Times New Roman" w:cs="Times New Roman" w:eastAsia="Times New Roman" w:hAnsi="Times New Roman"/>
          <w:sz w:val="21"/>
          <w:szCs w:val="21"/>
          <w:i w:val="1"/>
          <w:iCs w:val="1"/>
          <w:color w:val="auto"/>
        </w:rPr>
        <w:t>T3</w:t>
      </w:r>
      <w:r>
        <w:rPr>
          <w:rFonts w:ascii="MS PGothic" w:cs="MS PGothic" w:eastAsia="MS PGothic" w:hAnsi="MS PGothic"/>
          <w:sz w:val="27"/>
          <w:szCs w:val="27"/>
          <w:i w:val="1"/>
          <w:iCs w:val="1"/>
          <w:color w:val="auto"/>
          <w:vertAlign w:val="superscript"/>
        </w:rPr>
        <w:t>Ⓡ</w:t>
      </w:r>
      <w:r>
        <w:rPr>
          <w:rFonts w:ascii="Times New Roman" w:cs="Times New Roman" w:eastAsia="Times New Roman" w:hAnsi="Times New Roman"/>
          <w:sz w:val="21"/>
          <w:szCs w:val="21"/>
          <w:color w:val="auto"/>
        </w:rPr>
        <w:t>, EquipmentShare aims to drive productivity, efficiency and collaboration across the construction sector. With a comprehensive suite of solutions that includes a fleet management platform, telematics devices and a best-in-class equipment rental marketplace, EquipmentShare continues to lead the industry in building the future of construction.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2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This press release includes certain forward-looking statements within the meaning of the Private Securities Litigation Reform Act of 1995 that are based on management’s current expectations and assumptions and are subject to risks and uncertainties. Any statements that are not historical or current facts are forward-looking statements, including those related to the terms, timing and completion of the Offering and the use of the proceeds therefrom. In many cases, you can identify forward-looking statements by terms such as “anticipate,” “believe,” “continue,” “could,” “estimate,” “expect,” “intend,” “may,” “plan,” “should,” “will” or “would,” or the negative of these terms and similar expressions intended to identify forward-looking statements. Forward-looking statements involve known and unknown risks, uncertainties and other factors that may cause our actual results, performance or achievements to be materially different from any future results, performances or achievements expressed or implied by the forward-looking statements. There can be no assurance that the Offering will be consummated on the terms described herein or at all. More information about potential risks and uncertainties that could affect our business and results of operations is included in the “Risk Factors” and “Forward-Looking Statements” sections in EquipmentShare’s filings with the Securities and Exchange Commission. All forward-looking statements, expressed or implied, included in this press release are made as of the date of this press release and are expressly qualified in their entirety by this cautionary statement. Except as otherwise required by applicable law, EquipmentShare disclaims any duty to update any forward-looking statements, all of which are expressly qualified by the statements in this section, to reflect events or circumstances after the date of this press release.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Press Inquiries: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Amy N. Susán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press@equipmentshare.com</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Inquiries: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Rhett Butler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ir@equipmentshare.com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2026-06-16T07:20:06Z</dcterms:created>
  <dcterms:modified xsi:type="dcterms:W3CDTF">2026-06-16T07:20:06Z</dcterms:modified>
</cp:coreProperties>
</file>