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12, 2026</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001-43062</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EquipmentShare.com Inc</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8277" w:type="dxa"/>
        <w:jc w:val="left"/>
        <w:tblInd w:w="0" w:type="dxa"/>
        <w:tblLayout w:type="fixed"/>
        <w:tblCellMar>
          <w:top w:w="28" w:type="dxa"/>
          <w:left w:w="28" w:type="dxa"/>
          <w:bottom w:w="28" w:type="dxa"/>
          <w:right w:w="28" w:type="dxa"/>
        </w:tblCellMar>
      </w:tblPr>
      <w:tblGrid>
        <w:gridCol w:w="816"/>
        <w:gridCol w:w="715"/>
        <w:gridCol w:w="724"/>
        <w:gridCol w:w="872"/>
        <w:gridCol w:w="872"/>
        <w:gridCol w:w="874"/>
        <w:gridCol w:w="992"/>
        <w:gridCol w:w="992"/>
        <w:gridCol w:w="1420"/>
      </w:tblGrid>
      <w:tr>
        <w:trPr/>
        <w:tc>
          <w:tcPr>
            <w:tcW w:w="8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Texas</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47-2405753</w:t>
            </w:r>
          </w:p>
        </w:tc>
      </w:tr>
      <w:tr>
        <w:trPr/>
        <w:tc>
          <w:tcPr>
            <w:tcW w:w="22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of Incorporation)</w:t>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5710 Bull Run Dr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Columbia, Missouri, 65201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(573) 299-5222</w:t>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7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including Zip Code, and telephone number, including area code, of registrant's principal executive offices)</w:t>
            </w:r>
          </w:p>
        </w:tc>
      </w:tr>
    </w:tbl>
    <w:p>
      <w:pPr>
        <w:pStyle w:val="TextBody"/>
        <w:bidi w:val="0"/>
        <w:spacing w:lineRule="auto" w:line="288" w:before="54"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8782" w:type="dxa"/>
        <w:jc w:val="left"/>
        <w:tblInd w:w="0" w:type="dxa"/>
        <w:tblLayout w:type="fixed"/>
        <w:tblCellMar>
          <w:top w:w="28" w:type="dxa"/>
          <w:left w:w="28" w:type="dxa"/>
          <w:bottom w:w="28" w:type="dxa"/>
          <w:right w:w="28" w:type="dxa"/>
        </w:tblCellMar>
      </w:tblPr>
      <w:tblGrid>
        <w:gridCol w:w="1261"/>
        <w:gridCol w:w="1101"/>
        <w:gridCol w:w="1117"/>
        <w:gridCol w:w="109"/>
        <w:gridCol w:w="109"/>
        <w:gridCol w:w="109"/>
        <w:gridCol w:w="474"/>
        <w:gridCol w:w="474"/>
        <w:gridCol w:w="476"/>
        <w:gridCol w:w="109"/>
        <w:gridCol w:w="109"/>
        <w:gridCol w:w="109"/>
        <w:gridCol w:w="945"/>
        <w:gridCol w:w="945"/>
        <w:gridCol w:w="1335"/>
      </w:tblGrid>
      <w:tr>
        <w:trPr/>
        <w:tc>
          <w:tcPr>
            <w:tcW w:w="126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Class A Common Stock, $0.00000125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EQPT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The Nasdaq Global Select Market</w:t>
            </w:r>
          </w:p>
        </w:tc>
      </w:tr>
    </w:tbl>
    <w:p>
      <w:pPr>
        <w:pStyle w:val="TextBody"/>
        <w:bidi w:val="0"/>
        <w:spacing w:before="0" w:after="12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Wingdings;sans-serif" w:hAnsi="Wingdings;sans-serif"/>
                <w:b w:val="false"/>
                <w:color w:val="000000"/>
                <w:sz w:val="20"/>
              </w:rPr>
            </w:pP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12, 2026, EquipmentShare.com Inc (the “Company”) issued a press release reporting its results of operations for the three months ended June 30, 2026. The Company previously announced that it would be holding a conference call on August 13, 2026, at 7:30 a.m. Central Time to discuss its results of operations for the three months ended June 30, 2026. A copy of the press release is furnished as Exhibit 99.1 to this Form 8-K and is incorporated by reference herein.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this Form 8-K and the exhibits attached hereto shall not be deemed “filed” for the purposes of Section 18 of the Securities Exchange Act of 1934 (the “Exchange Act”) or otherwise subject to the liabilities of that section, nor shall it be deemed incorporated by reference in any other filing under the Securities Act of 1933 or the Exchange Act, except as shall be expressly set forth by specific reference in such filing.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0"/>
        <w:gridCol w:w="1940"/>
        <w:gridCol w:w="276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q26earningsrelease.htm">
              <w:r>
                <w:rPr>
                  <w:rStyle w:val="InternetLink"/>
                  <w:rFonts w:ascii="Times New Roman;serif" w:hAnsi="Times New Roman;serif"/>
                  <w:b w:val="false"/>
                  <w:color w:val="000080"/>
                  <w:sz w:val="20"/>
                  <w:u w:val="single"/>
                </w:rPr>
                <w:t>Press Release of EquipmentShare.com Inc dated August 12</w:t>
              </w:r>
            </w:hyperlink>
            <w:hyperlink w:anchor="a2q26earningsrelease.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Company has duly caused this report to be signed on its behalf by the undersigned hereunto duly authorized.</w:t>
      </w:r>
    </w:p>
    <w:tbl>
      <w:tblPr>
        <w:tblW w:w="7154"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31"/>
        <w:gridCol w:w="231"/>
        <w:gridCol w:w="231"/>
        <w:gridCol w:w="689"/>
        <w:gridCol w:w="689"/>
        <w:gridCol w:w="689"/>
        <w:gridCol w:w="689"/>
        <w:gridCol w:w="689"/>
        <w:gridCol w:w="100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EquipmentShare.com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12, 2026</w:t>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4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Marquardt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tbl>
      <w:tblPr>
        <w:tblW w:w="6431" w:type="dxa"/>
        <w:jc w:val="right"/>
        <w:tblInd w:w="0" w:type="dxa"/>
        <w:tblLayout w:type="fixed"/>
        <w:tblCellMar>
          <w:top w:w="28" w:type="dxa"/>
          <w:left w:w="28" w:type="dxa"/>
          <w:bottom w:w="28" w:type="dxa"/>
          <w:right w:w="28" w:type="dxa"/>
        </w:tblCellMar>
      </w:tblPr>
      <w:tblGrid>
        <w:gridCol w:w="353"/>
        <w:gridCol w:w="310"/>
        <w:gridCol w:w="312"/>
        <w:gridCol w:w="1598"/>
        <w:gridCol w:w="1598"/>
        <w:gridCol w:w="2260"/>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8/12/2026</w:t>
            </w:r>
          </w:p>
        </w:tc>
        <w:tc>
          <w:tcPr>
            <w:tcW w:w="545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381375" cy="4095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81375" cy="409575"/>
                          </a:xfrm>
                          <a:prstGeom prst="rect">
                            <a:avLst/>
                          </a:prstGeom>
                        </pic:spPr>
                      </pic:pic>
                    </a:graphicData>
                  </a:graphic>
                </wp:inline>
              </w:drawing>
            </w:r>
          </w:p>
        </w:tc>
      </w:tr>
    </w:tbl>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EquipmentShare Reports Second Quarter Financial Results </w:t>
      </w:r>
    </w:p>
    <w:p>
      <w:pPr>
        <w:pStyle w:val="TextBody"/>
        <w:bidi w:val="0"/>
        <w:spacing w:before="0" w:after="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Total revenue of $1,449 million for the second quarter and $4,952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Rental Segment</w:t>
      </w:r>
      <w:r>
        <w:rPr>
          <w:rFonts w:ascii="Times New Roman;serif" w:hAnsi="Times New Roman;serif"/>
          <w:b/>
          <w:color w:val="000000"/>
          <w:sz w:val="13"/>
        </w:rPr>
        <w:t>(2)</w:t>
      </w:r>
      <w:r>
        <w:rPr>
          <w:color w:val="000000"/>
        </w:rPr>
        <w:t xml:space="preserve"> </w:t>
      </w:r>
      <w:r>
        <w:rPr>
          <w:rFonts w:ascii="Times New Roman;serif" w:hAnsi="Times New Roman;serif"/>
          <w:b/>
          <w:color w:val="000000"/>
          <w:sz w:val="20"/>
        </w:rPr>
        <w:t>revenue of $908 million for the second quarter, an increase of 39% year over year, and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 $3,189 million, an increase of 37% year over year.</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Net income of $19 million for the second quarter and net income of $62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Adjusted Net Income</w:t>
      </w:r>
      <w:r>
        <w:rPr>
          <w:rFonts w:ascii="Times New Roman;serif" w:hAnsi="Times New Roman;serif"/>
          <w:b/>
          <w:color w:val="000000"/>
          <w:sz w:val="13"/>
        </w:rPr>
        <w:t xml:space="preserve">(4) </w:t>
      </w:r>
      <w:r>
        <w:rPr>
          <w:rFonts w:ascii="Times New Roman;serif" w:hAnsi="Times New Roman;serif"/>
          <w:b/>
          <w:color w:val="000000"/>
          <w:sz w:val="20"/>
        </w:rPr>
        <w:t>for the second quarter of $43 million and Adjusted Net Income</w:t>
      </w:r>
      <w:r>
        <w:rPr>
          <w:rFonts w:ascii="Times New Roman;serif" w:hAnsi="Times New Roman;serif"/>
          <w:b/>
          <w:color w:val="000000"/>
          <w:sz w:val="13"/>
        </w:rPr>
        <w:t>(4)</w:t>
      </w:r>
      <w:r>
        <w:rPr>
          <w:color w:val="000000"/>
        </w:rPr>
        <w:t xml:space="preserve"> </w:t>
      </w:r>
      <w:r>
        <w:rPr>
          <w:rFonts w:ascii="Times New Roman;serif" w:hAnsi="Times New Roman;serif"/>
          <w:b/>
          <w:color w:val="000000"/>
          <w:sz w:val="20"/>
        </w:rPr>
        <w:t>of $103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Adjusted Core EBITDA</w:t>
      </w:r>
      <w:r>
        <w:rPr>
          <w:rFonts w:ascii="Times New Roman;serif" w:hAnsi="Times New Roman;serif"/>
          <w:b/>
          <w:color w:val="000000"/>
          <w:sz w:val="13"/>
        </w:rPr>
        <w:t>(3)</w:t>
      </w:r>
      <w:r>
        <w:rPr>
          <w:color w:val="000000"/>
        </w:rPr>
        <w:t xml:space="preserve"> </w:t>
      </w:r>
      <w:r>
        <w:rPr>
          <w:rFonts w:ascii="Times New Roman;serif" w:hAnsi="Times New Roman;serif"/>
          <w:b/>
          <w:color w:val="000000"/>
          <w:sz w:val="20"/>
        </w:rPr>
        <w:t>of $531 million for the second quarter and $1,911 million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Mature rental locations</w:t>
      </w:r>
      <w:r>
        <w:rPr>
          <w:rFonts w:ascii="Times New Roman;serif" w:hAnsi="Times New Roman;serif"/>
          <w:b/>
          <w:color w:val="000000"/>
          <w:sz w:val="13"/>
        </w:rPr>
        <w:t>(2)(6)</w:t>
      </w:r>
      <w:r>
        <w:rPr>
          <w:color w:val="000000"/>
        </w:rPr>
        <w:t xml:space="preserve"> </w:t>
      </w:r>
      <w:r>
        <w:rPr>
          <w:rFonts w:ascii="Times New Roman;serif" w:hAnsi="Times New Roman;serif"/>
          <w:b/>
          <w:color w:val="000000"/>
          <w:sz w:val="20"/>
        </w:rPr>
        <w:t>adjusted EBITDA margins were 55% on a TTM</w:t>
      </w:r>
      <w:r>
        <w:rPr>
          <w:rFonts w:ascii="Times New Roman;serif" w:hAnsi="Times New Roman;serif"/>
          <w:b/>
          <w:color w:val="000000"/>
          <w:sz w:val="13"/>
        </w:rPr>
        <w:t>(1)</w:t>
      </w:r>
      <w:r>
        <w:rPr>
          <w:color w:val="000000"/>
        </w:rPr>
        <w:t xml:space="preserve"> </w:t>
      </w:r>
      <w:r>
        <w:rPr>
          <w:rFonts w:ascii="Times New Roman;serif" w:hAnsi="Times New Roman;serif"/>
          <w:b/>
          <w:color w:val="000000"/>
          <w:sz w:val="20"/>
        </w:rPr>
        <w:t>basis.</w:t>
      </w:r>
    </w:p>
    <w:p>
      <w:pPr>
        <w:pStyle w:val="TextBody"/>
        <w:bidi w:val="0"/>
        <w:spacing w:lineRule="auto" w:line="288" w:before="0" w:after="180"/>
        <w:ind w:left="0" w:right="0" w:hanging="360"/>
        <w:jc w:val="left"/>
        <w:rPr/>
      </w:pPr>
      <w:r>
        <w:rPr>
          <w:strike/>
          <w:color w:val="000000"/>
        </w:rPr>
        <w:t>•</w:t>
      </w:r>
      <w:r>
        <w:rPr>
          <w:rFonts w:ascii="Times New Roman;serif" w:hAnsi="Times New Roman;serif"/>
          <w:b/>
          <w:color w:val="000000"/>
          <w:sz w:val="20"/>
        </w:rPr>
        <w:t>430 locations</w:t>
      </w:r>
      <w:r>
        <w:rPr>
          <w:rFonts w:ascii="Times New Roman;serif" w:hAnsi="Times New Roman;serif"/>
          <w:b/>
          <w:color w:val="000000"/>
          <w:sz w:val="13"/>
        </w:rPr>
        <w:t>(6)</w:t>
      </w:r>
      <w:r>
        <w:rPr>
          <w:color w:val="000000"/>
        </w:rPr>
        <w:t xml:space="preserve"> </w:t>
      </w:r>
      <w:r>
        <w:rPr>
          <w:rFonts w:ascii="Times New Roman;serif" w:hAnsi="Times New Roman;serif"/>
          <w:b/>
          <w:color w:val="000000"/>
          <w:sz w:val="20"/>
        </w:rPr>
        <w:t>with 23 new locations opened during the second quarter.</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Columbia, MO. - - (Globe Newswire) - - EquipmentShare.com Inc (Nasdaq: EQPT) (“EquipmentShare” or the “Company”) today reported financial results for the second quarter ended June 30, 2026 which can be found on EquipmentShare’s website at https://ir.equipmentshare.com/.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delivered another exceptional quarter, supported by strong customer demand, continued market share gains and disciplined execution across the business,” said Jabbok Schlacks, Founder and Chief Executive Officer of EquipmentShare. “Rental Segment revenue increased more than 39% year over year, while our mature rental locations continued to generate industry-leading margins that demonstrate the embedded earnings power of our expanding network. As customers undertake larger and more complex projects, they are increasingly consolidating spend with EquipmentShare because of our ability to combine equipment, technology and service through one integrated platform. Looking ahead, customer demand remains healthy, our mega-project pipeline continues to expand, and we remain confident in our outlook and see a meaningful opportunity for growth."</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We built T3 to run EquipmentShare, and increasingly our customers want to run more of their businesses on it,” said Willy Schlacks, Founder and President of EquipmentShare. “Customers that engage with T3 spend approximately six times more with us, and we are seeing the platform expand beyond rental into mixed fleet, service, logistics and broader enterprise workflows.”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Financial Summary</w:t>
      </w:r>
    </w:p>
    <w:tbl>
      <w:tblPr>
        <w:tblW w:w="9731" w:type="dxa"/>
        <w:jc w:val="center"/>
        <w:tblInd w:w="0" w:type="dxa"/>
        <w:tblLayout w:type="fixed"/>
        <w:tblCellMar>
          <w:top w:w="28" w:type="dxa"/>
          <w:left w:w="28" w:type="dxa"/>
          <w:bottom w:w="28" w:type="dxa"/>
          <w:right w:w="28" w:type="dxa"/>
        </w:tblCellMar>
      </w:tblPr>
      <w:tblGrid>
        <w:gridCol w:w="1226"/>
        <w:gridCol w:w="1080"/>
        <w:gridCol w:w="1083"/>
        <w:gridCol w:w="229"/>
        <w:gridCol w:w="229"/>
        <w:gridCol w:w="178"/>
        <w:gridCol w:w="178"/>
        <w:gridCol w:w="178"/>
        <w:gridCol w:w="178"/>
        <w:gridCol w:w="229"/>
        <w:gridCol w:w="229"/>
        <w:gridCol w:w="178"/>
        <w:gridCol w:w="109"/>
        <w:gridCol w:w="109"/>
        <w:gridCol w:w="109"/>
        <w:gridCol w:w="275"/>
        <w:gridCol w:w="275"/>
        <w:gridCol w:w="276"/>
        <w:gridCol w:w="109"/>
        <w:gridCol w:w="109"/>
        <w:gridCol w:w="109"/>
        <w:gridCol w:w="242"/>
        <w:gridCol w:w="217"/>
        <w:gridCol w:w="188"/>
        <w:gridCol w:w="188"/>
        <w:gridCol w:w="188"/>
        <w:gridCol w:w="188"/>
        <w:gridCol w:w="242"/>
        <w:gridCol w:w="217"/>
        <w:gridCol w:w="188"/>
        <w:gridCol w:w="109"/>
        <w:gridCol w:w="109"/>
        <w:gridCol w:w="109"/>
        <w:gridCol w:w="255"/>
        <w:gridCol w:w="255"/>
        <w:gridCol w:w="361"/>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 except for operational locations)</w:t>
            </w:r>
          </w:p>
        </w:tc>
        <w:tc>
          <w:tcPr>
            <w:tcW w:w="1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vMerge w:val="continue"/>
            <w:tcBorders/>
            <w:tcMar>
              <w:top w:w="0" w:type="dxa"/>
              <w:left w:w="0" w:type="dxa"/>
              <w:bottom w:w="0" w:type="dxa"/>
              <w:right w:w="0" w:type="dxa"/>
            </w:tcMar>
            <w:vAlign w:val="center"/>
          </w:tcPr>
          <w:p>
            <w:pPr>
              <w:pStyle w:val="Normal"/>
              <w:bidi w:val="0"/>
              <w:jc w:val="left"/>
              <w:rPr/>
            </w:pPr>
            <w:r>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$4,952</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Equipment Rental and Services Operations</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$908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$3,189</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37%</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Equipment Sales</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$483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$1,578</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(13)%</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All Other</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$58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$185</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189%</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Payouts</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$234</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182%</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Net Income</w:t>
            </w:r>
            <w:r>
              <w:rPr>
                <w:rFonts w:ascii="Times New Roman;serif" w:hAnsi="Times New Roman;serif"/>
                <w:b w:val="false"/>
                <w:color w:val="000000"/>
                <w:sz w:val="10"/>
              </w:rPr>
              <w:t>(4)</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368%</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Core EBITDA</w:t>
            </w:r>
            <w:r>
              <w:rPr>
                <w:rFonts w:ascii="Times New Roman;serif" w:hAnsi="Times New Roman;serif"/>
                <w:b w:val="false"/>
                <w:color w:val="000000"/>
                <w:sz w:val="10"/>
              </w:rPr>
              <w:t>(3)</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$531</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$1,911</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New market start-up costs</w:t>
            </w:r>
            <w:r>
              <w:rPr>
                <w:rFonts w:ascii="Times New Roman;serif" w:hAnsi="Times New Roman;serif"/>
                <w:b w:val="false"/>
                <w:color w:val="000000"/>
                <w:sz w:val="10"/>
              </w:rPr>
              <w:t>(5)</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$245</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Operational locations</w:t>
            </w:r>
            <w:r>
              <w:rPr>
                <w:rFonts w:ascii="Times New Roman;serif" w:hAnsi="Times New Roman;serif"/>
                <w:b w:val="false"/>
                <w:color w:val="000000"/>
                <w:sz w:val="10"/>
              </w:rPr>
              <w:t>(6)</w:t>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430</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Original Equipment Cost</w:t>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$9,851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$9,851</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(1)TTM refers to the trailing twelve month period ended June 30, 2026. See “Trailing Twelve Month Financial Information” for additional information on TTM.</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(2)Refers to the Equipment Rental and Services Operations segment.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(3)Adjusted Core EBITDA is a non-GAAP measure. See “Non-GAAP Financial Measures” for additional information on non-GAAP financial measures and a reconciliation to the most comparable GAAP measures.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(4)Adjusted Net Income (Loss) is a non-GAAP measure that excludes stock-based compensation expense related to equity awards granted to each of the Company’s Chief Executive Officer and President (the “IPO Founders Awards”). See “Non-GAAP Financial Measures” for additional information on non-GAAP financial measures and a reconciliation to the most comparable GAAP measures. For the three and twelve months ended June 30, 2026, stock-based compensation expense related to the IPO Founders Awards was $24 million and $41 million,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(5)New market start-up costs attributable to new locations open less than twelve months.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(6)Includes 391 full-service rental locations (172 growth and 219 mature), 30 building materials locations, and 9 dealerships as of June 30, 2026, and 324 full-service rental locations (173 growth and 151 mature), 16 building materials locations, and 8 dealerships as of June 30, 2025. Growth sites refers to full-service rental locations opened 24 months or less. Mature sites refers to full-service rental locations opened greater than 24 months.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(7)Reflects capital expenditures related to our rental equipment fleet, net of proceeds from the sale of rental equipment.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(8)See “Net Debt and Leverage Calculation” for additional information on our calculation of the net leverage ratio.</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(9)The Company anticipates the total number of mature rental site locations within our Rental Segment to be 264 sites by the end of 2026, up from 186 for the year ended December 31, 2025.</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(10)Includes $224 - $240 million of Sales Segment EBITDA.</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(11)NM refers to “not meaningful”.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Second Quarter 2026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Rental Segment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revenue increased 39% to $908 million due to significant customer demand which drove continued expansion of the Company’s operational location footprint and an increase in the size of the Company’s managed fleet.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Equipment sales (“Sales Segment”) revenue increased 1% to $483 million due to an $11 million increase in disciplined, selective placements into the OWN Program, partially offset by a decrease of $6 million in the sale of new and used equipment to contractors and other end users.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income increased by $3 million to $19 million due to $30 million of higher operating income, partially offset by $27 million of higher income tax provision. Excluding stock-based compensation expense of $24 million related to the IPO Founders Awards, Adjusted Net Income increased in the second quarter by $27 million to $43 million and Adjusted Net Income increased by $81 million to $103 million on a TTM basis.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Adjusted Core EBITDA increased $136 million to $531 million due to the continued expansion of our full-service rental location footprint and maturation of existing rental sites within the Rental Segment</w:t>
      </w:r>
      <w:r>
        <w:rPr>
          <w:rFonts w:ascii="Times New Roman;serif" w:hAnsi="Times New Roman;serif"/>
          <w:b w:val="false"/>
          <w:color w:val="000000"/>
          <w:sz w:val="13"/>
        </w:rPr>
        <w:t>(2)(6)</w:t>
      </w:r>
      <w:r>
        <w:rPr>
          <w:rFonts w:ascii="Times New Roman;serif" w:hAnsi="Times New Roman;serif"/>
          <w:b w:val="false"/>
          <w:color w:val="000000"/>
          <w:sz w:val="20"/>
        </w:rPr>
        <w:t>. The Company believes the earnings power embedded in our branch network continues to increase as recently opened locations mature, which should support earnings growth and margin expansion over time.</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Company opened 23 operational locations during the second quarter, including 20 full-service rental locations and 3 building material locations.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Company’s original equipment cost (“OEC”) under management increased $786 million in the second quarter to $9,851 million comprising of $4,235 million of EquipmentShare owned fleet, $5,533 million of OWN Program fleet, and $83 million of equipment on operating leases. In addition, the appraised value of the OWN Program fleet was $4,090 million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rental equipment capex</w:t>
      </w: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for the second quarter was $321 million after gross purchases of rental equipment of $689 million, and was $856 million after gross purchases of rental equipment of $1,998 million for the TTM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 of June 30, 2026, total available liquidity was $1,424 million, which included undrawn availability on the asset-based revolving credit facility of $980 million and cash and cash equivalents of $443 million. Liquidity was $2,763 million as adjusted for the impact of the bond issuance funded on July 1,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leverage</w:t>
      </w:r>
      <w:r>
        <w:rPr>
          <w:rFonts w:ascii="Times New Roman;serif" w:hAnsi="Times New Roman;serif"/>
          <w:b w:val="false"/>
          <w:color w:val="000000"/>
          <w:sz w:val="13"/>
        </w:rPr>
        <w:t xml:space="preserve">(8) </w:t>
      </w:r>
      <w:r>
        <w:rPr>
          <w:rFonts w:ascii="Times New Roman;serif" w:hAnsi="Times New Roman;serif"/>
          <w:b w:val="false"/>
          <w:color w:val="000000"/>
          <w:sz w:val="20"/>
        </w:rPr>
        <w:t>decreased to 3.0x as of June 30, 2026, from 3.4x as of June 30, 2025.</w: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2026 Outlook</w:t>
      </w:r>
    </w:p>
    <w:tbl>
      <w:tblPr>
        <w:tblW w:w="6200" w:type="dxa"/>
        <w:jc w:val="center"/>
        <w:tblInd w:w="0" w:type="dxa"/>
        <w:tblLayout w:type="fixed"/>
        <w:tblCellMar>
          <w:top w:w="28" w:type="dxa"/>
          <w:left w:w="28" w:type="dxa"/>
          <w:bottom w:w="28" w:type="dxa"/>
          <w:right w:w="28" w:type="dxa"/>
        </w:tblCellMar>
      </w:tblPr>
      <w:tblGrid>
        <w:gridCol w:w="1384"/>
        <w:gridCol w:w="1218"/>
        <w:gridCol w:w="1222"/>
        <w:gridCol w:w="280"/>
        <w:gridCol w:w="231"/>
        <w:gridCol w:w="180"/>
        <w:gridCol w:w="171"/>
        <w:gridCol w:w="171"/>
        <w:gridCol w:w="171"/>
        <w:gridCol w:w="253"/>
        <w:gridCol w:w="253"/>
        <w:gridCol w:w="185"/>
        <w:gridCol w:w="109"/>
        <w:gridCol w:w="109"/>
        <w:gridCol w:w="109"/>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in millions, except for full-service rental locations)</w:t>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Guidance)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OEC</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$10,577</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Full-Service Rental Locations</w:t>
            </w:r>
            <w:r>
              <w:rPr>
                <w:rFonts w:ascii="Times New Roman;serif" w:hAnsi="Times New Roman;serif"/>
                <w:b w:val="false"/>
                <w:color w:val="000000"/>
                <w:sz w:val="10"/>
              </w:rPr>
              <w:t>(9)</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427</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$5,254</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Rental Segment</w:t>
            </w: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Revenue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$3,472</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Payouts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$929</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Core EBITDA</w:t>
            </w:r>
            <w:r>
              <w:rPr>
                <w:rFonts w:ascii="Times New Roman;serif" w:hAnsi="Times New Roman;serif"/>
                <w:b w:val="false"/>
                <w:color w:val="000000"/>
                <w:sz w:val="10"/>
              </w:rPr>
              <w:t>(10)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$1,946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Rental Capex</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$2,664</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Rental Capex</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$980</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 of OEC</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provide a reconciliation between the expected non-GAAP measures and the most directly comparable GAAP measures for the period reflected above because certain significant information required for such reconciliation is not available without unreasonable efforts. This is due to the inherent difficulty of forecasting the timing or amounts of these items that have not yet occurred and are out of the Company’s control or cannot be reasonably predicted. These items are uncertain, depend on various factors, and could have a material impact on GAAP reported results.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EquipmentShare will hold a conference call discussing second quarter 2026 financial results tomorrow, Thursday, August 13, 2026 at 7:30 a.m. Central Time. The conference call will be available live via a webcast at ir.equipmentshare.com. Alternatively, the call will be accessible by dialing 585-542-9983 (local) or 833-461-5787 (toll-free). The passcode for both numbers is 290010130. A replay of the webcast will also be hosted on the EquipmentShare investor relations website.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About EquipmentShare</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Founded in 2015 and headquartered in Columbia, Missouri, EquipmentShare is a nationwide construction technology and equipment solutions provider dedicated to transforming the construction industry through innovative tools, platforms and data-driven insights. By empowering contractors, builders and equipment owners with its </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shd w:fill="FFFFFF" w:val="clear"/>
        </w:rPr>
        <w:t>proprietary technology, T3</w:t>
      </w:r>
      <w:r>
        <w:rPr>
          <w:color w:val="000000"/>
          <w:shd w:fill="FFFFFF" w:val="clear"/>
        </w:rPr>
        <w:t>Ⓡ</w:t>
      </w:r>
      <w:r>
        <w:rPr>
          <w:rFonts w:ascii="Times New Roman;serif" w:hAnsi="Times New Roman;serif"/>
          <w:b w:val="false"/>
          <w:color w:val="000000"/>
          <w:sz w:val="20"/>
          <w:shd w:fill="FFFFFF" w:val="clear"/>
        </w:rPr>
        <w:t>, EquipmentShare aims to drive productivity, efficiency and collaboration across the construction sector. With a comprehensive suite of solutions that includes a fleet management platform, telematics devices and a best-in-class equipment rental marketplace, EquipmentShare continues to lead the industry in building the future of construction. EquipmentShare is listed on the Nasdaq stock exchange under the stock symbol EQPT. For more information, visit https://www.equipmentshare.com.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certain “forward-looking statements” for purposes of United States federal and state securities laws. Forward-looking statements are statements other than statements of historical fact and can be identified by words such as “anticipate,” “believe,” “continue,” “could,” “estimate,” “expect,” “intend,” “may,” “might,” “our vision,” “plan,” “potential,” “preliminary,” “predict,” “should,” “will,” or “would” or the negative thereof or other variations thereof or comparable terminology. These forward-looking statements, which include statements regarding EquipmentShare’s financial and operating performance, growth opportunities, customer demand, market share gains, profitability, and the OWN Program, are subject to numerous risks and uncertainties, most of which are difficult to predict and many of which are beyond EquipmentShare’s control, including but not limited to, risks and uncertainties related to economic, market or business conditions, the construction equipment rental industry, our operational locations and the size of our managed fleet, the ability to execute on our expansion strategy, the T3 operating system, the OWN Program, and other risks and uncertainties. For a further list and description of such risks and uncertainties, please refer to EquipmentShare’s filings with the Securities and Exchange Commission available at www.sec.gov. All forward-looking statements, expressed or implied, included in this press release are made as of the date of this press release and are expressly qualified in their entirety by this cautionary statement. Except as otherwise required by applicable law, EquipmentShare disclaims any duty to update any forward-looking statements, all of which are expressly qualified by the statements in this section, to reflect events or circumstances after the date of this press release.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except per share data)</w:t>
      </w:r>
    </w:p>
    <w:tbl>
      <w:tblPr>
        <w:tblW w:w="9816" w:type="dxa"/>
        <w:jc w:val="center"/>
        <w:tblInd w:w="0" w:type="dxa"/>
        <w:tblLayout w:type="fixed"/>
        <w:tblCellMar>
          <w:top w:w="28" w:type="dxa"/>
          <w:left w:w="28" w:type="dxa"/>
          <w:bottom w:w="28" w:type="dxa"/>
          <w:right w:w="28" w:type="dxa"/>
        </w:tblCellMar>
      </w:tblPr>
      <w:tblGrid>
        <w:gridCol w:w="1851"/>
        <w:gridCol w:w="1626"/>
        <w:gridCol w:w="1637"/>
        <w:gridCol w:w="237"/>
        <w:gridCol w:w="564"/>
        <w:gridCol w:w="132"/>
        <w:gridCol w:w="132"/>
        <w:gridCol w:w="132"/>
        <w:gridCol w:w="132"/>
        <w:gridCol w:w="237"/>
        <w:gridCol w:w="564"/>
        <w:gridCol w:w="132"/>
        <w:gridCol w:w="109"/>
        <w:gridCol w:w="109"/>
        <w:gridCol w:w="109"/>
        <w:gridCol w:w="198"/>
        <w:gridCol w:w="561"/>
        <w:gridCol w:w="110"/>
        <w:gridCol w:w="110"/>
        <w:gridCol w:w="110"/>
        <w:gridCol w:w="110"/>
        <w:gridCol w:w="198"/>
        <w:gridCol w:w="561"/>
        <w:gridCol w:w="155"/>
      </w:tblGrid>
      <w:tr>
        <w:trPr/>
        <w:tc>
          <w:tcPr>
            <w:tcW w:w="1851"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rental and related services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sales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parts and supplies and services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Platform:</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Telematics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1,449</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 OF REVENUES</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operating costs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 Program payouts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sales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Platform expense</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w:t>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SELLING, GENERAL AND ADMINISTRATIVE EXPENSES</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Operating income </w:t>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 net</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(benefit from) income taxes</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Deemed dividends on perpetual preferred stock</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common shareholders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(Class A and Common Stock)</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(Class B)</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(loss) per common share:</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common share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 (Class A and Common Stock)</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 (Class B)</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CONDENSED CONSOLIDATED BALANCE SHEETS (</w:t>
      </w:r>
      <w:r>
        <w:rPr>
          <w:rFonts w:ascii="Times New Roman;serif" w:hAnsi="Times New Roman;serif"/>
          <w:b/>
          <w:color w:val="000000"/>
          <w:sz w:val="20"/>
          <w:shd w:fill="FFFFFF" w:val="clear"/>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2914"/>
        <w:gridCol w:w="2365"/>
        <w:gridCol w:w="2391"/>
        <w:gridCol w:w="225"/>
        <w:gridCol w:w="639"/>
        <w:gridCol w:w="125"/>
        <w:gridCol w:w="109"/>
        <w:gridCol w:w="109"/>
        <w:gridCol w:w="109"/>
        <w:gridCol w:w="263"/>
        <w:gridCol w:w="747"/>
        <w:gridCol w:w="209"/>
      </w:tblGrid>
      <w:tr>
        <w:trPr/>
        <w:tc>
          <w:tcPr>
            <w:tcW w:w="2914"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7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costs</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equipment, net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other fixed assets, net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net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 operating</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non-consolidated affiliates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PERPETUAL PREFERRED STOCK, AND EQUITY</w:t>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Manufacturer flooring plans payable</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liabilities</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financing obligations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 original issue discounts, and debt issuance costs</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 of current portion</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 net of current portion</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obligations, net of current portion</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5,099 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Perpetual preferred stock, net - $0.00000125 par value, 15 shares authorized, 14 and 14 shares issued and outstanding at June 30, 2026 and December 31, 2025, respectively</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 $0.00000125 par value, no shares authorized, issued and outstanding as of June 30, 2026, 273 shares authorized, 79 shares issued and outstanding at December 31, 2025</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 $0.00000125 par value, 3,500 shares authorized, 215 shares issued and outstanding at June 30, 2026, no shares authorized, issued and outstanding as of December 31, 2025</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 $0.00000125 par value, 200 shares authorized, 38 shares issued and outstanding at June 30, 2026, no shares authorized, issued and outstanding as of December 31, 2025</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Convertible preferred stock, net - $0.00000125 par value, no shares authorized, issued and outstanding as of June 30, 2026, 149 shares authorized, 142 shares issued and outstanding at December 31, 2025</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5 and 5 shares at June 30, 2026 and December 31, 2025, respectively</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67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670"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7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perpetual preferred stock, and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- 2</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CONDENSED CONSOLIDATED STATEMENTS OF CASH FLOWS (</w:t>
      </w:r>
      <w:r>
        <w:rPr>
          <w:rFonts w:ascii="Times New Roman;serif" w:hAnsi="Times New Roman;serif"/>
          <w:b/>
          <w:color w:val="000000"/>
          <w:sz w:val="20"/>
          <w:shd w:fill="FFFFFF" w:val="clear"/>
        </w:rPr>
        <w:t>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millions)</w:t>
      </w:r>
    </w:p>
    <w:tbl>
      <w:tblPr>
        <w:tblW w:w="9000" w:type="dxa"/>
        <w:jc w:val="center"/>
        <w:tblInd w:w="0" w:type="dxa"/>
        <w:tblLayout w:type="fixed"/>
        <w:tblCellMar>
          <w:top w:w="28" w:type="dxa"/>
          <w:left w:w="28" w:type="dxa"/>
          <w:bottom w:w="28" w:type="dxa"/>
          <w:right w:w="28" w:type="dxa"/>
        </w:tblCellMar>
      </w:tblPr>
      <w:tblGrid>
        <w:gridCol w:w="2516"/>
        <w:gridCol w:w="2209"/>
        <w:gridCol w:w="2220"/>
        <w:gridCol w:w="200"/>
        <w:gridCol w:w="430"/>
        <w:gridCol w:w="109"/>
        <w:gridCol w:w="109"/>
        <w:gridCol w:w="109"/>
        <w:gridCol w:w="109"/>
        <w:gridCol w:w="196"/>
        <w:gridCol w:w="421"/>
        <w:gridCol w:w="109"/>
        <w:gridCol w:w="109"/>
        <w:gridCol w:w="154"/>
      </w:tblGrid>
      <w:tr>
        <w:trPr/>
        <w:tc>
          <w:tcPr>
            <w:tcW w:w="251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original issue discounts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and doubtful accounts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lease cost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costs and other assets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manufacturer flooring plans payable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rental equipment</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rental equipment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and deposits on property and other fixed assets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property and other fixed assets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internally developed software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 in equity and debt securities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investments in equity and debt securities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net of cash acquired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long-term debt and finance leases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 net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deferred financing costs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financing obligations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on financing obligations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perpetual preferred stock</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issuance of class A common stock upon initial public offering, net of underwriting </w:t>
              <w:br/>
              <w:t>   discount and commissions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equity issuance costs</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DISCLOSURES:</w:t>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ACTIVITIES:</w:t>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rental equipment remaining in accounts payable and manufacturer flooring plans</w:t>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other fixed assets remaining in accounts payable</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perpetual preferred stock to redemption value</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capitalized software development</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Trailing Twelve Month Financial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press release includes certain unaudited financial information for the trailing twelve months (“TTM”) ended June 30, 2026 and 2025, which is calculated as the six months ended June 30, 2026 and 2025, plus the year ended December 31, 2025 and 2024 less the six months ended June 30, 2025 and 2024. This presentation is not in accordance with generally accepted accounting principles (“GAAP”). However, the Company believes that this presentation provides useful information to investors regarding our recent financial performance, and management views this presentation of the four most recently completed fiscal quarters as a key measurement period for investors to assess our historical results. In addition, the Company uses TTM information to evaluate our financial performance for ongoing planning purposes.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certain financial information that is not presented in accordance with GAAP. Non-GAAP financial measures should not be used as a substitute for the corresponding GAAP measures. Non-GAAP measures in this presentation may be calculated in a way that is not comparable to similarly-titled measures reported by other companies. Non-GAAP measures in this presentation include, but are not limited to, “EBITDA”, “Adjusted Earnings Per Share”, “Adjusted Net Income (Loss)”, “Core EBITDA”, and “Adjusted Core EBITDA”, and certain ratios and other metrics derived therefrom. These non-GAAP financial measures are not measures of financial performance in accordance with GAAP and may exclude items that are significant in understanding and assessing the Company’s financial results. Therefore, these measures should not be considered in isolation or as an alternative to net income, cash flows from operations or other measures of the Company’s profitability, liquidity or performance under GAAP. Schedules that reconcile certain non-GAAP financial measures to a financial measure included in financial statements calculated and presented in accordance with GAAP are included in the below tables.</w:t>
      </w:r>
    </w:p>
    <w:p>
      <w:pPr>
        <w:pStyle w:val="TextBody"/>
        <w:bidi w:val="0"/>
        <w:spacing w:lineRule="auto" w:line="288" w:before="0" w:after="180"/>
        <w:jc w:val="left"/>
        <w:rPr/>
      </w:pPr>
      <w:r>
        <w:rPr>
          <w:rFonts w:ascii="Times New Roman;serif" w:hAnsi="Times New Roman;serif"/>
          <w:b/>
          <w:color w:val="000000"/>
          <w:sz w:val="20"/>
        </w:rPr>
        <w:t>EBITDA, Adjusted Net Income (Loss), Adjusted Earnings Per Share, Core EBITDA, and Adjusted Core EBITDA</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EBITDA is defined as net income before interest expense, income taxes, depreciation and amortization and non-cash stock compensation expense. The exclusion of these items and other similar items in our non-GAAP presentation should not be interpreted as implying that these items are non-recurring, infrequent or unusual. The Company believes EBITDA is meaningful to investors because it provides investors with a useful representation of our ongoing operations and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(Loss) is defined as net income (loss) adjusted to exclude stock-based compensation expense related to the IPO Founders Awards. The Company believes Adjusted Net Income (Loss) is meaningful to investors because it provides investors with a useful representation of our ongoing operations and performance.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(“Adjusted EPS”) is defined as Adjusted Net Income (Loss) less deemed dividends on perpetual preferred stock divided by adjusted fully diluted weighted average shares outstanding. The Company believes Adjusted EPS is meaningful to investors because it provides investors with a useful representation of our ongoing operations and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Core EBITDA is defined as the sum of Equipment Rental and Services Operations Segment EBITDA and Equipment Sales Segment EBITDA. The Company believes Core EBITDA is meaningful to investors because it reflects the profitability of our two core segments.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Adjusted Core EBITDA is defined as Core EBITDA adjusted for new market start-up costs attributable to new locations less than twelve months old. The Company believes Adjusted Core EBITDA is meaningful to investors as it is the primary operating performance measure used by the Company to assess its core operating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Adjusted Core EBITDA can also be calculated as EBITDA less amortization and non-cash stock compensation expense, other (income) expense, (gain) loss on sale of properties and other assets, and All Other Segment Adjusted EBITDA, plus the sum of OWN Program payouts, equipment and vehicle operating lease expense, loss (gain) on debt extinguishment, and new market start-up costs. Adjusted Core EBITDA reflects the Company’s underlying operating performance by excluding items unique to the Company’s organic growth and financing strategy such as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OWN Program payouts and (ii) new market start-up costs. As a capital-light fleet growth model, the OWN Program enables third-party participants to own rental equipment deployed and managed by EquipmentShare. When the equipment rents, OWN Program participants receive a portion of the rental revenue generated by the equipment. When equipment is included in the OWN Program rather than purchased and owned or leased directly by the Company, depreciation and interest expense associated with that equipment are reduced, while OWN Program payouts are recorded as cost of revenues. This shift increases cost of revenues and decreases depreciation and interest expense. Excluding OWN Program payouts assists investors in evaluating the Company’s business and performance relative to industry peers as no other company uses a similar model.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New market start-up costs reflect the upfront investments required to support our continued geographic expansion. As the only large-scale equipment rental provider that is fully focused on organic growth, excluding new market start-up costs provides greater transparency with respect to the Company's financial condition and results of operation as it enhances comparability with industry peers.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should be considered supplemental to and are not a substitute for financial information prepared in accordance with GAAP. Our use of the terms EBITDA and Adjusted Core EBITDA may vary from the use of similar terms by other companies in our industry and accordingly may not be comparable to similarly titled measures used by other companies.</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Accompanying Tables)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9525" w:type="dxa"/>
        <w:jc w:val="center"/>
        <w:tblInd w:w="0" w:type="dxa"/>
        <w:tblLayout w:type="fixed"/>
        <w:tblCellMar>
          <w:top w:w="28" w:type="dxa"/>
          <w:left w:w="28" w:type="dxa"/>
          <w:bottom w:w="28" w:type="dxa"/>
          <w:right w:w="28" w:type="dxa"/>
        </w:tblCellMar>
      </w:tblPr>
      <w:tblGrid>
        <w:gridCol w:w="1211"/>
        <w:gridCol w:w="1063"/>
        <w:gridCol w:w="1071"/>
        <w:gridCol w:w="185"/>
        <w:gridCol w:w="185"/>
        <w:gridCol w:w="185"/>
        <w:gridCol w:w="178"/>
        <w:gridCol w:w="178"/>
        <w:gridCol w:w="178"/>
        <w:gridCol w:w="185"/>
        <w:gridCol w:w="185"/>
        <w:gridCol w:w="185"/>
        <w:gridCol w:w="109"/>
        <w:gridCol w:w="109"/>
        <w:gridCol w:w="109"/>
        <w:gridCol w:w="275"/>
        <w:gridCol w:w="275"/>
        <w:gridCol w:w="276"/>
        <w:gridCol w:w="109"/>
        <w:gridCol w:w="109"/>
        <w:gridCol w:w="109"/>
        <w:gridCol w:w="242"/>
        <w:gridCol w:w="217"/>
        <w:gridCol w:w="188"/>
        <w:gridCol w:w="188"/>
        <w:gridCol w:w="188"/>
        <w:gridCol w:w="188"/>
        <w:gridCol w:w="242"/>
        <w:gridCol w:w="217"/>
        <w:gridCol w:w="188"/>
        <w:gridCol w:w="109"/>
        <w:gridCol w:w="109"/>
        <w:gridCol w:w="109"/>
        <w:gridCol w:w="255"/>
        <w:gridCol w:w="255"/>
        <w:gridCol w:w="361"/>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Equipment Rental and Services Operations</w:t>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revenue</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$3,189</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37.0%</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$1,369</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 margin</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42.8%</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42.9%</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Equipment Sales</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revenue</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$483</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$1,578</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$297</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Reportable segment Adjusted EBITDA margin</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18.8%</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Equipment Sales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8025" w:type="dxa"/>
        <w:jc w:val="left"/>
        <w:tblInd w:w="0" w:type="dxa"/>
        <w:tblLayout w:type="fixed"/>
        <w:tblCellMar>
          <w:top w:w="28" w:type="dxa"/>
          <w:left w:w="28" w:type="dxa"/>
          <w:bottom w:w="28" w:type="dxa"/>
          <w:right w:w="28" w:type="dxa"/>
        </w:tblCellMar>
      </w:tblPr>
      <w:tblGrid>
        <w:gridCol w:w="1383"/>
        <w:gridCol w:w="1217"/>
        <w:gridCol w:w="1225"/>
        <w:gridCol w:w="196"/>
        <w:gridCol w:w="421"/>
        <w:gridCol w:w="109"/>
        <w:gridCol w:w="109"/>
        <w:gridCol w:w="109"/>
        <w:gridCol w:w="109"/>
        <w:gridCol w:w="196"/>
        <w:gridCol w:w="421"/>
        <w:gridCol w:w="109"/>
        <w:gridCol w:w="109"/>
        <w:gridCol w:w="109"/>
        <w:gridCol w:w="109"/>
        <w:gridCol w:w="196"/>
        <w:gridCol w:w="556"/>
        <w:gridCol w:w="109"/>
        <w:gridCol w:w="109"/>
        <w:gridCol w:w="109"/>
        <w:gridCol w:w="109"/>
        <w:gridCol w:w="196"/>
        <w:gridCol w:w="556"/>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Equipment sales to OWN Program participants</w:t>
            </w:r>
            <w:r>
              <w:rPr>
                <w:rFonts w:ascii="Times New Roman;serif" w:hAnsi="Times New Roman;serif"/>
                <w:b w:val="false"/>
                <w:color w:val="000000"/>
                <w:sz w:val="10"/>
              </w:rPr>
              <w:t xml:space="preserve">(1)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equipment sales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 equipment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equipment sold to OWN Program participants</w:t>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other equipment sales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 - equipment sales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(1)For the three months ended June 30, 2026 and 2025, equipment sales to OWN Program participants included net revenue of $32 million and $17 million, respectively, recognized on an agent basis, with overall transaction values of $195 million and $143 million, respectively. For the twelve months ended June 30, 2026 and 2025, equipment sales to OWN Program participants included net revenue of $115 million and $78 million, respectively, recognized on an agent basis, with overall transaction values of $743 million and $472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EBITDA, Core EBITDA, and Adjusted Core EBITDA GAAP Reconciliation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9300" w:type="dxa"/>
        <w:jc w:val="left"/>
        <w:tblInd w:w="0" w:type="dxa"/>
        <w:tblLayout w:type="fixed"/>
        <w:tblCellMar>
          <w:top w:w="28" w:type="dxa"/>
          <w:left w:w="28" w:type="dxa"/>
          <w:bottom w:w="28" w:type="dxa"/>
          <w:right w:w="28" w:type="dxa"/>
        </w:tblCellMar>
      </w:tblPr>
      <w:tblGrid>
        <w:gridCol w:w="1826"/>
        <w:gridCol w:w="1604"/>
        <w:gridCol w:w="1610"/>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Rental and Services Operations Segment 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Sales Segment Adjusted EBITDA</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Core EBITDA</w:t>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New market start-up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Core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99" w:type="dxa"/>
        <w:jc w:val="left"/>
        <w:tblInd w:w="0" w:type="dxa"/>
        <w:tblLayout w:type="fixed"/>
        <w:tblCellMar>
          <w:top w:w="28" w:type="dxa"/>
          <w:left w:w="28" w:type="dxa"/>
          <w:bottom w:w="28" w:type="dxa"/>
          <w:right w:w="28" w:type="dxa"/>
        </w:tblCellMar>
      </w:tblPr>
      <w:tblGrid>
        <w:gridCol w:w="1386"/>
        <w:gridCol w:w="1222"/>
        <w:gridCol w:w="1231"/>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Provision for (benefit from) income taxes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Depreciation and amortization expense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Interest expense</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Non-cash stock compensation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Non-cash stock compensation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(Gain) loss on sale of properties and other assets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Other (income) expense, net</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OWN Program payouts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Equipment operating lease expense</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Loss on debt extinguishment</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Non-Core EBITDA</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Core EBITDA</w:t>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New market start-up costs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Core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Adjusted Net (Loss) Income and Adjusted EPS GAAP Reconciliation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9693" w:type="dxa"/>
        <w:jc w:val="left"/>
        <w:tblInd w:w="0" w:type="dxa"/>
        <w:tblLayout w:type="fixed"/>
        <w:tblCellMar>
          <w:top w:w="28" w:type="dxa"/>
          <w:left w:w="28" w:type="dxa"/>
          <w:bottom w:w="28" w:type="dxa"/>
          <w:right w:w="28" w:type="dxa"/>
        </w:tblCellMar>
      </w:tblPr>
      <w:tblGrid>
        <w:gridCol w:w="2069"/>
        <w:gridCol w:w="1820"/>
        <w:gridCol w:w="1841"/>
        <w:gridCol w:w="196"/>
        <w:gridCol w:w="481"/>
        <w:gridCol w:w="109"/>
        <w:gridCol w:w="109"/>
        <w:gridCol w:w="109"/>
        <w:gridCol w:w="109"/>
        <w:gridCol w:w="196"/>
        <w:gridCol w:w="481"/>
        <w:gridCol w:w="109"/>
        <w:gridCol w:w="109"/>
        <w:gridCol w:w="109"/>
        <w:gridCol w:w="109"/>
        <w:gridCol w:w="198"/>
        <w:gridCol w:w="335"/>
        <w:gridCol w:w="110"/>
        <w:gridCol w:w="110"/>
        <w:gridCol w:w="110"/>
        <w:gridCol w:w="110"/>
        <w:gridCol w:w="198"/>
        <w:gridCol w:w="411"/>
        <w:gridCol w:w="155"/>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Plus: IPO Founders Awards Stock Compensation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Deemed dividends on perpetual preferred stock</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(Loss) used for calculation of adjusted EPS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Weighted-average common shares used in GAAP diluted net income per share</w:t>
            </w:r>
            <w:r>
              <w:rPr>
                <w:rFonts w:ascii="Times New Roman;serif" w:hAnsi="Times New Roman;serif"/>
                <w:b w:val="false"/>
                <w:color w:val="000000"/>
                <w:sz w:val="10"/>
              </w:rPr>
              <w:t>(11)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Adjusted EPS (Class A and Common Stock)</w:t>
            </w:r>
            <w:r>
              <w:rPr>
                <w:rFonts w:ascii="Times New Roman;serif" w:hAnsi="Times New Roman;serif"/>
                <w:b/>
                <w:color w:val="000000"/>
                <w:sz w:val="10"/>
              </w:rPr>
              <w:t>(11)</w:t>
            </w:r>
            <w:r>
              <w:rPr>
                <w:rFonts w:ascii="Times New Roman;serif" w:hAnsi="Times New Roman;serif"/>
                <w:b/>
                <w:color w:val="000000"/>
                <w:sz w:val="16"/>
              </w:rPr>
              <w: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diluted earnings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impact on diluted earnings per share from non-GAAP adjustments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64" w:type="dxa"/>
            <w:gridSpan w:val="3"/>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EPS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0.06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NM</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EQUIPMENTSHARE.COM INC AND SUBSIDIARIES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06.2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SCHEDULES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Net Debt and Leverage Calculation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in millions)</w:t>
      </w:r>
    </w:p>
    <w:tbl>
      <w:tblPr>
        <w:tblW w:w="8303" w:type="dxa"/>
        <w:jc w:val="center"/>
        <w:tblInd w:w="0" w:type="dxa"/>
        <w:tblLayout w:type="fixed"/>
        <w:tblCellMar>
          <w:top w:w="28" w:type="dxa"/>
          <w:left w:w="28" w:type="dxa"/>
          <w:bottom w:w="28" w:type="dxa"/>
          <w:right w:w="28" w:type="dxa"/>
        </w:tblCellMar>
      </w:tblPr>
      <w:tblGrid>
        <w:gridCol w:w="2235"/>
        <w:gridCol w:w="1965"/>
        <w:gridCol w:w="1979"/>
        <w:gridCol w:w="196"/>
        <w:gridCol w:w="571"/>
        <w:gridCol w:w="109"/>
        <w:gridCol w:w="109"/>
        <w:gridCol w:w="109"/>
        <w:gridCol w:w="109"/>
        <w:gridCol w:w="196"/>
        <w:gridCol w:w="571"/>
        <w:gridCol w:w="154"/>
      </w:tblGrid>
      <w:tr>
        <w:trPr/>
        <w:tc>
          <w:tcPr>
            <w:tcW w:w="2235"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 of current portion, original issue discounts, and debt issuance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 net of current portion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liabilities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obligations, net of current portion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financing obligations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debt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2,884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New market start-up costs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leverage ratio</w:t>
            </w:r>
          </w:p>
        </w:tc>
        <w:tc>
          <w:tcPr>
            <w:tcW w:w="8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3.4x</w:t>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Contact: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Rhett Butler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VP, Investor Relations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ir@equipmentshare.com</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 - 10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5072</Words>
  <Characters>27926</Characters>
  <CharactersWithSpaces>32220</CharactersWithSpaces>
  <Paragraphs>1104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