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Chheda Neil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 BROADWAY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EquipmentShare.com Inc</w:t>
              </w:r>
            </w:hyperlink>
            <w:r>
              <w:rPr/>
              <w:t xml:space="preserve"> [ </w:t>
            </w:r>
            <w:r>
              <w:rPr>
                <w:rFonts w:ascii="Times;serif" w:hAnsi="Times;serif"/>
                <w:color w:val="0000FF"/>
                <w:sz w:val="24"/>
                <w:shd w:fill="FFFFFF" w:val="clear"/>
              </w:rPr>
              <w:t>EQPT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261"/>
        <w:gridCol w:w="908"/>
        <w:gridCol w:w="784"/>
        <w:gridCol w:w="602"/>
        <w:gridCol w:w="312"/>
        <w:gridCol w:w="1126"/>
        <w:gridCol w:w="346"/>
        <w:gridCol w:w="995"/>
        <w:gridCol w:w="1263"/>
        <w:gridCol w:w="870"/>
        <w:gridCol w:w="173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26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1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6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8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7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2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73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11,006</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21.0619</w:t>
            </w:r>
            <w:r>
              <w:rPr>
                <w:rFonts w:ascii="Times;serif" w:hAnsi="Times;serif"/>
                <w:color w:val="008000"/>
                <w:position w:val="7"/>
                <w:sz w:val="16"/>
                <w:sz w:val="20"/>
                <w:shd w:fill="FFFFFF" w:val="clear"/>
              </w:rPr>
              <w:t>(1)</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41,762,090</w:t>
            </w:r>
          </w:p>
        </w:tc>
        <w:tc>
          <w:tcPr>
            <w:tcW w:w="8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7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Romulus Capital III L.P.</w:t>
            </w:r>
            <w:r>
              <w:rPr>
                <w:rFonts w:ascii="Times;serif" w:hAnsi="Times;serif"/>
                <w:color w:val="008000"/>
                <w:position w:val="7"/>
                <w:sz w:val="16"/>
                <w:sz w:val="20"/>
                <w:shd w:fill="FFFFFF" w:val="clear"/>
              </w:rPr>
              <w:t>(2)</w:t>
            </w:r>
          </w:p>
        </w:tc>
      </w:tr>
      <w:tr>
        <w:trPr/>
        <w:tc>
          <w:tcPr>
            <w:tcW w:w="12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1,285,402</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20.62</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40,476,688</w:t>
            </w:r>
          </w:p>
        </w:tc>
        <w:tc>
          <w:tcPr>
            <w:tcW w:w="8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7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Romulus Capital III L.P.</w:t>
            </w:r>
            <w:r>
              <w:rPr>
                <w:rFonts w:ascii="Times;serif" w:hAnsi="Times;serif"/>
                <w:color w:val="008000"/>
                <w:position w:val="7"/>
                <w:sz w:val="16"/>
                <w:sz w:val="20"/>
                <w:shd w:fill="FFFFFF" w:val="clear"/>
              </w:rPr>
              <w:t>(2)</w:t>
            </w:r>
          </w:p>
        </w:tc>
      </w:tr>
      <w:tr>
        <w:trPr/>
        <w:tc>
          <w:tcPr>
            <w:tcW w:w="12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2,802,872</w:t>
            </w:r>
          </w:p>
        </w:tc>
        <w:tc>
          <w:tcPr>
            <w:tcW w:w="8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7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Romulus EquipmentShare Growth II L.P.</w:t>
            </w:r>
            <w:r>
              <w:rPr>
                <w:rFonts w:ascii="Times;serif" w:hAnsi="Times;serif"/>
                <w:color w:val="008000"/>
                <w:position w:val="7"/>
                <w:sz w:val="16"/>
                <w:sz w:val="20"/>
                <w:shd w:fill="FFFFFF" w:val="clear"/>
              </w:rPr>
              <w:t>(3)</w:t>
            </w:r>
          </w:p>
        </w:tc>
      </w:tr>
      <w:tr>
        <w:trPr/>
        <w:tc>
          <w:tcPr>
            <w:tcW w:w="12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6,365,296</w:t>
            </w:r>
          </w:p>
        </w:tc>
        <w:tc>
          <w:tcPr>
            <w:tcW w:w="8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7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Romulus EquipmentShare Growth L.P.</w:t>
            </w:r>
            <w:r>
              <w:rPr>
                <w:rFonts w:ascii="Times;serif" w:hAnsi="Times;serif"/>
                <w:color w:val="008000"/>
                <w:position w:val="7"/>
                <w:sz w:val="16"/>
                <w:sz w:val="20"/>
                <w:shd w:fill="FFFFFF" w:val="clear"/>
              </w:rPr>
              <w:t>(4)</w:t>
            </w:r>
          </w:p>
        </w:tc>
      </w:tr>
      <w:tr>
        <w:trPr/>
        <w:tc>
          <w:tcPr>
            <w:tcW w:w="126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182,000</w:t>
            </w:r>
          </w:p>
        </w:tc>
        <w:tc>
          <w:tcPr>
            <w:tcW w:w="8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7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Romulus EquipmentShare Growth III L.P.</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Chheda Neil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 BROADWAY</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Romulus EquipmentShare Growth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 BROADWAY</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Romulus EquipmentShare Growth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 BROADWAY</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Madoda Engala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 BROADWAY</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Romulus EquipmentShare Growth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 BROADWAY</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Romulus Capital Partners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 BROADWAY</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Romulus Capital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 BROADWAY</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$21.01 to $21.20, inclusive.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directly by Romulus Capital III, L.P. ("Romulus III"). Romulus Capital Partners II, LLC ("Romulus II GP") is the general partner of Romulus III. Neil Chheda is the managing member of Romulus II GP, and disclaims beneficial ownership of the shares reported herein except to the extent of his pecuniary interest therein, if any, and the inclusion of these shares in this report shall not be deemed an admission that Mr. Chheda is a beneficial owner of the securities reported in this filing for purposes of Section 16 of the Securities Exchange Act of 1934, as amended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directly by Romulus EquipmentShare Growth II L.P. ("RESG II"). Madoda Engala LLC ("Madoda Engala") is the general partner of RESG II. Neil Chheda is the manager of Madoda Engala, and disclaims beneficial ownership of the shares reported herein except to the extent of his pecuniary interest therein, if any, and the inclusion of these shares in this report shall not be deemed an admission that Mr. Chheda is a beneficial owner of the securities reported in this filing for purposes of Section 16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directly by Romulus EquipmentShare Growth L.P. ("RESG"). Romulus II GP is the general partner of RESG. Neil Chheda is the managing member of Romulus II GP, and disclaims beneficial ownership of the shares reported herein except to the extent of his pecuniary interest therein, if any, and the inclusion of these shares in this report shall not be deemed an admission that Mr. Chheda is a beneficial owner of the securities reported in this filing for purposes of Section 16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directly by Romulus EquipmentShare Growth III L.P. ("RESG III"). Romulus II GP is the general partner of RESG III. Neil Chheda is the managing member of Romulus II GP, and disclaims beneficial ownership of the shares reported herein except to the extent of his pecuniary interest therein, if any, and the inclusion of these shares in this report shall not be deemed an admission that Mr. Chheda is a beneficial owner of the securities reported in this filing for purposes of Section 16 of the Exchange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Neil Chheda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Romulus EquipmentShare Growth L.P. By: Romulus Capital Partners II, LLC, General Partner, By: /s/ Neil Chheda,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Romulus EquipmentShare Growth II L.P., By: Madoda Engala LLC, General Partner, By: /s/ Neil Chheda,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Madoda Engala LLC By: /s/ Neil Chheda,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Romulus EquipmentShare Growth III L.P., By: Romulus Capital Partners II, LLC, General Partner By: /s/ Neil Chheda,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Romulus Capital Partners II, LLC By: /s/ Neil Chheda,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Romulus Capital III, L.P. By: Romulus Capital Partners II, LLC, General Partner, By: /s/ Neil Chheda,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5105" TargetMode="External"/><Relationship Id="rId5" Type="http://schemas.openxmlformats.org/officeDocument/2006/relationships/hyperlink" Target="http://www.sec.gov/cgi-bin/browse-edgar?action=getcompany&amp;CIK=00016937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945105" TargetMode="External"/><Relationship Id="rId9" Type="http://schemas.openxmlformats.org/officeDocument/2006/relationships/hyperlink" Target="http://www.sec.gov/cgi-bin/browse-edgar?action=getcompany&amp;CIK=0002110283" TargetMode="External"/><Relationship Id="rId10" Type="http://schemas.openxmlformats.org/officeDocument/2006/relationships/hyperlink" Target="http://www.sec.gov/cgi-bin/browse-edgar?action=getcompany&amp;CIK=0001798261" TargetMode="External"/><Relationship Id="rId11" Type="http://schemas.openxmlformats.org/officeDocument/2006/relationships/hyperlink" Target="http://www.sec.gov/cgi-bin/browse-edgar?action=getcompany&amp;CIK=0002110276" TargetMode="External"/><Relationship Id="rId12" Type="http://schemas.openxmlformats.org/officeDocument/2006/relationships/hyperlink" Target="http://www.sec.gov/cgi-bin/browse-edgar?action=getcompany&amp;CIK=0001803331" TargetMode="External"/><Relationship Id="rId13" Type="http://schemas.openxmlformats.org/officeDocument/2006/relationships/hyperlink" Target="http://www.sec.gov/cgi-bin/browse-edgar?action=getcompany&amp;CIK=0002110284" TargetMode="External"/><Relationship Id="rId14" Type="http://schemas.openxmlformats.org/officeDocument/2006/relationships/hyperlink" Target="http://www.sec.gov/cgi-bin/browse-edgar?action=getcompany&amp;CIK=0001644261"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1320</Words>
  <Characters>7021</Characters>
  <CharactersWithSpaces>8146</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