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President</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25"/>
        <w:gridCol w:w="438"/>
        <w:gridCol w:w="745"/>
        <w:gridCol w:w="1345"/>
        <w:gridCol w:w="977"/>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18.64</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(1)</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a managing member of EQS Heritage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managing member of EQS Legacy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as attorney-in-fact for William J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309"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4074</Characters>
  <CharactersWithSpaces>4760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