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Jabbok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Founder &amp; CEO</w:t>
                  </w:r>
                  <w:r>
                    <w:rPr/>
                    <w:t xml:space="preserve"> / </w:t>
                  </w: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06"/>
        <w:gridCol w:w="429"/>
        <w:gridCol w:w="786"/>
        <w:gridCol w:w="1337"/>
        <w:gridCol w:w="966"/>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17.87</w:t>
            </w:r>
            <w:r>
              <w:rPr>
                <w:rFonts w:ascii="Times;serif" w:hAnsi="Times;serif"/>
                <w:color w:val="008000"/>
                <w:position w:val="7"/>
                <w:sz w:val="16"/>
                <w:sz w:val="20"/>
                <w:shd w:fill="FFFFFF" w:val="clear"/>
              </w:rPr>
              <w:t>(1)</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17.46</w:t>
            </w:r>
            <w:r>
              <w:rPr>
                <w:rFonts w:ascii="Times;serif" w:hAnsi="Times;serif"/>
                <w:color w:val="008000"/>
                <w:position w:val="7"/>
                <w:sz w:val="16"/>
                <w:sz w:val="20"/>
                <w:shd w:fill="FFFFFF" w:val="clear"/>
              </w:rPr>
              <w:t>(2)</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(3)</w:t>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$17.69 to $18.06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$17.29 to $17.76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managing member of EQS Heritage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managing member of EQS Legacy Holdings LLC and, jointly with William John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Griffin, as attorney-in-fact for Jabbok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52818_ex24.htm"/>
      <w:bookmarkStart w:id="3" w:name="ksdp252818_ex24"/>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William J. Schlacks IV, David Marquardt, Mark Wopata, and John Griffin, and each of them,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representative of EquipmentShare.com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any and all Form 3, 4 or 5 reports required to be filed by the undersigned in accordance with Section 16(a) of the Securities Exchange Act of 1934, as amended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with respect to transactions in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22nd day of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/s/ Jabbok Schlacks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Jabbok Schlacks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677"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1385</Words>
  <Characters>7246</Characters>
  <CharactersWithSpaces>8571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