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715565.xml.htm"/>
      <w:bookmarkStart w:id="1" w:name="kswkform4_17907155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BHATIA NAVEEN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EQUIPMENTSHARE.COM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5710 BULL RUN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EquipmentShare.com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EQPT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14,409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326,409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granted to the reporting person on September 25, 2026 as compensation for service as a director. The RSUs will vest on the earlier of (1) the date of Equipmentshare.com Inc's annual meeting of stockholders in 2027, (2) one year from the date of grant, or (3) a change of control, each subject to the reporting person's continued service as a director on the Board of Directors of Equipmentshare.com Inc through the vesting date. Each RSU represents a contingent right to receive one share of Class A common stock of Equipmentshare.com Inc.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Griffin, as attorney-in-fact for Naveen Bhatia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2171" TargetMode="External"/><Relationship Id="rId5" Type="http://schemas.openxmlformats.org/officeDocument/2006/relationships/hyperlink" Target="http://www.sec.gov/cgi-bin/browse-edgar?action=getcompany&amp;CIK=00016937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665</Words>
  <Characters>3592</Characters>
  <CharactersWithSpaces>4189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