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pPr>
      <w:hyperlink w:anchor="i5fdfea6782b54504b07970914d233dfc_7">
        <w:bookmarkStart w:id="0" w:name="eqpt-20260630.htm"/>
        <w:bookmarkStart w:id="1" w:name="kseqpt20260630"/>
        <w:bookmarkEnd w:id="0"/>
        <w:bookmarkEnd w:id="1"/>
        <w:r>
          <w:rPr>
            <w:rStyle w:val="InternetLink"/>
            <w:rFonts w:ascii="Times New Roman;serif" w:hAnsi="Times New Roman;serif"/>
            <w:b w:val="false"/>
            <w:i w:val="false"/>
            <w:caps w:val="false"/>
            <w:smallCaps w:val="false"/>
            <w:color w:val="0000FF"/>
            <w:sz w:val="20"/>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Times New Roman;serif" w:hAnsi="Times New Roman;serif"/>
          <w:b/>
          <w:i w:val="false"/>
          <w:caps w:val="false"/>
          <w:smallCaps w:val="false"/>
          <w:strike w:val="false"/>
          <w:dstrike w:val="false"/>
          <w:sz w:val="36"/>
          <w:u w:val="none"/>
          <w:effect w:val="none"/>
        </w:rPr>
      </w:pPr>
      <w:r>
        <w:rPr>
          <w:rFonts w:ascii="Times New Roman;serif" w:hAnsi="Times New Roman;serif"/>
          <w:b/>
          <w:i w:val="false"/>
          <w:caps w:val="false"/>
          <w:smallCaps w:val="false"/>
          <w:strike w:val="false"/>
          <w:dstrike w:val="false"/>
          <w:sz w:val="36"/>
          <w:u w:val="none"/>
          <w:effect w:val="none"/>
        </w:rPr>
        <w:t>UNITED STATES</w:t>
      </w:r>
    </w:p>
    <w:p>
      <w:pPr>
        <w:pStyle w:val="TextBody"/>
        <w:bidi w:val="0"/>
        <w:spacing w:lineRule="atLeast" w:line="360" w:before="0" w:after="0"/>
        <w:jc w:val="left"/>
        <w:rPr>
          <w:rFonts w:ascii="Times New Roman;serif" w:hAnsi="Times New Roman;serif"/>
          <w:b/>
          <w:i w:val="false"/>
          <w:caps w:val="false"/>
          <w:smallCaps w:val="false"/>
          <w:strike w:val="false"/>
          <w:dstrike w:val="false"/>
          <w:sz w:val="36"/>
          <w:u w:val="none"/>
          <w:effect w:val="none"/>
        </w:rPr>
      </w:pPr>
      <w:r>
        <w:rPr>
          <w:rFonts w:ascii="Times New Roman;serif" w:hAnsi="Times New Roman;serif"/>
          <w:b/>
          <w:i w:val="false"/>
          <w:caps w:val="false"/>
          <w:smallCaps w:val="false"/>
          <w:strike w:val="false"/>
          <w:dstrike w:val="false"/>
          <w:sz w:val="36"/>
          <w:u w:val="none"/>
          <w:effect w:val="none"/>
        </w:rPr>
        <w:t>SECURITIES AND EXCHANGE COMMISSION</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WASHINGTON, D.C. 20549</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____________________________________</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FORM 10-Q</w:t>
      </w:r>
    </w:p>
    <w:p>
      <w:pPr>
        <w:pStyle w:val="TextBody"/>
        <w:bidi w:val="0"/>
        <w:spacing w:lineRule="atLeast" w:line="160" w:before="0" w:after="0"/>
        <w:jc w:val="left"/>
        <w:rPr>
          <w:sz w:val="24"/>
        </w:rPr>
      </w:pPr>
      <w:r>
        <w:rPr>
          <w:rFonts w:ascii="Wingdings;sans-serif" w:hAnsi="Wingdings;sans-serif"/>
          <w:b w:val="false"/>
          <w:i w:val="false"/>
          <w:caps w:val="false"/>
          <w:smallCaps w:val="false"/>
          <w:strike w:val="false"/>
          <w:dstrike w:val="false"/>
          <w:sz w:val="16"/>
          <w:u w:val="none"/>
          <w:effect w:val="none"/>
        </w:rPr>
        <w:t>x</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QUARTERLY REPORT PURSUANT TO SECTION 13 OR 15(d) OF THE SECURITIES EXCHANGE ACT OF 1934</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For the quarterly period ended June 30, 2026</w:t>
      </w:r>
    </w:p>
    <w:p>
      <w:pPr>
        <w:pStyle w:val="TextBody"/>
        <w:bidi w:val="0"/>
        <w:spacing w:lineRule="atLeast" w:line="160" w:before="0" w:after="0"/>
        <w:jc w:val="left"/>
        <w:rPr>
          <w:sz w:val="24"/>
        </w:rPr>
      </w:pPr>
      <w:r>
        <w:rPr>
          <w:rFonts w:ascii="Wingdings;sans-serif" w:hAnsi="Wingdings;sans-serif"/>
          <w:b w:val="false"/>
          <w:i w:val="false"/>
          <w:caps w:val="false"/>
          <w:smallCaps w:val="false"/>
          <w:strike w:val="false"/>
          <w:dstrike w:val="false"/>
          <w:sz w:val="16"/>
          <w:u w:val="none"/>
          <w:effect w:val="none"/>
        </w:rPr>
        <w:t>o</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TRANSITION REPORT PURSUANT TO SECTION 13 OR 15(d) OF THE SECURITIES EXCHANGE ACT OF 1934</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For the transition period from _________ to _________</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Commission File Number  001-43062</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EquipmentShare.com Inc</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(Exact Name of Registrant as Specified in Its Charter)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____________________________________________________________</w:t>
      </w:r>
    </w:p>
    <w:tbl>
      <w:tblPr>
        <w:tblW w:w="8279" w:type="dxa"/>
        <w:jc w:val="left"/>
        <w:tblInd w:w="0" w:type="dxa"/>
        <w:tblLayout w:type="fixed"/>
        <w:tblCellMar>
          <w:top w:w="28" w:type="dxa"/>
          <w:left w:w="28" w:type="dxa"/>
          <w:bottom w:w="28" w:type="dxa"/>
          <w:right w:w="28" w:type="dxa"/>
        </w:tblCellMar>
      </w:tblPr>
      <w:tblGrid>
        <w:gridCol w:w="2256"/>
        <w:gridCol w:w="2620"/>
        <w:gridCol w:w="3403"/>
      </w:tblGrid>
      <w:tr>
        <w:trPr/>
        <w:tc>
          <w:tcPr>
            <w:tcW w:w="2256"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22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Texas</w:t>
            </w:r>
          </w:p>
        </w:tc>
        <w:tc>
          <w:tcPr>
            <w:tcW w:w="2620" w:type="dxa"/>
            <w:tcBorders/>
            <w:vAlign w:val="center"/>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47-2405753</w:t>
            </w:r>
          </w:p>
        </w:tc>
      </w:tr>
      <w:tr>
        <w:trPr/>
        <w:tc>
          <w:tcPr>
            <w:tcW w:w="22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(State of Incorporation)</w:t>
            </w:r>
          </w:p>
        </w:tc>
        <w:tc>
          <w:tcPr>
            <w:tcW w:w="2620" w:type="dxa"/>
            <w:tcBorders/>
            <w:vAlign w:val="center"/>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(I.R.S. Employer Identification No.)</w:t>
            </w:r>
          </w:p>
        </w:tc>
      </w:tr>
      <w:tr>
        <w:trPr/>
        <w:tc>
          <w:tcPr>
            <w:tcW w:w="2256"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5710 Bull Run Dr</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Columbia, Missouri, 65201</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(573) 299-5222</w:t>
            </w:r>
          </w:p>
        </w:tc>
        <w:tc>
          <w:tcPr>
            <w:tcW w:w="3403" w:type="dxa"/>
            <w:tcBorders/>
            <w:vAlign w:val="center"/>
          </w:tcPr>
          <w:p>
            <w:pPr>
              <w:pStyle w:val="TableContents"/>
              <w:bidi w:val="0"/>
              <w:spacing w:before="0" w:after="283"/>
              <w:jc w:val="left"/>
              <w:rPr>
                <w:sz w:val="4"/>
                <w:szCs w:val="4"/>
              </w:rPr>
            </w:pPr>
            <w:r>
              <w:rPr>
                <w:sz w:val="4"/>
                <w:szCs w:val="4"/>
              </w:rPr>
            </w:r>
          </w:p>
        </w:tc>
      </w:tr>
      <w:tr>
        <w:trPr/>
        <w:tc>
          <w:tcPr>
            <w:tcW w:w="8279" w:type="dxa"/>
            <w:gridSpan w:val="3"/>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(Address, including Zip Code, and telephone number, including area code, of registrant's principal executive offices)</w:t>
            </w:r>
          </w:p>
        </w:tc>
      </w:tr>
    </w:tbl>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Securities registered pursuant to Section 12(b) of the Act:</w:t>
      </w:r>
    </w:p>
    <w:tbl>
      <w:tblPr>
        <w:tblW w:w="8351" w:type="dxa"/>
        <w:jc w:val="left"/>
        <w:tblInd w:w="0" w:type="dxa"/>
        <w:tblLayout w:type="fixed"/>
        <w:tblCellMar>
          <w:top w:w="28" w:type="dxa"/>
          <w:left w:w="28" w:type="dxa"/>
          <w:bottom w:w="28" w:type="dxa"/>
          <w:right w:w="28" w:type="dxa"/>
        </w:tblCellMar>
      </w:tblPr>
      <w:tblGrid>
        <w:gridCol w:w="3481"/>
        <w:gridCol w:w="109"/>
        <w:gridCol w:w="1426"/>
        <w:gridCol w:w="109"/>
        <w:gridCol w:w="3226"/>
      </w:tblGrid>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Name of each exchange on which registered</w:t>
            </w:r>
          </w:p>
        </w:tc>
      </w:tr>
      <w:tr>
        <w:trPr/>
        <w:tc>
          <w:tcPr>
            <w:tcW w:w="348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Class A Common Stock, $0.00000125 par value</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EQPT</w:t>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The Nasdaq Global Select Market</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(1) has filed all reports required to be filed by Section 13 or 15(d) of the Securities Exchange Act of 1934 during the preceding 12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 xml:space="preserve">months (or for such shorter period that the registrant was required to file such reports), and (2) has been subject to such filing requirements for the past 90 days </w:t>
      </w:r>
      <w:r>
        <w:rPr>
          <w:rFonts w:ascii="Wingdings;sans-serif" w:hAnsi="Wingdings;sans-serif"/>
          <w:b w:val="false"/>
          <w:i w:val="false"/>
          <w:caps w:val="false"/>
          <w:smallCaps w:val="false"/>
          <w:strike w:val="false"/>
          <w:dstrike w:val="false"/>
          <w:sz w:val="16"/>
          <w:u w:val="none"/>
          <w:effect w:val="none"/>
        </w:rPr>
        <w:t>x</w:t>
      </w:r>
      <w:r>
        <w:rPr>
          <w:rFonts w:ascii="Times New Roman;serif" w:hAnsi="Times New Roman;serif"/>
          <w:b w:val="false"/>
          <w:i w:val="false"/>
          <w:caps w:val="false"/>
          <w:smallCaps w:val="false"/>
          <w:strike w:val="false"/>
          <w:dstrike w:val="false"/>
          <w:sz w:val="16"/>
          <w:u w:val="none"/>
          <w:effect w:val="none"/>
        </w:rPr>
        <w:t>Yes</w:t>
      </w:r>
      <w:r>
        <w:rPr>
          <w:caps w:val="false"/>
          <w:smallCaps w:val="false"/>
          <w:strike w:val="false"/>
          <w:dstrike w:val="false"/>
          <w:sz w:val="24"/>
          <w:u w:val="none"/>
          <w:effect w:val="none"/>
        </w:rPr>
        <w:t xml:space="preserve"> </w:t>
      </w:r>
      <w:r>
        <w:rPr>
          <w:rFonts w:ascii="Wingdings;sans-serif" w:hAnsi="Wingdings;sans-serif"/>
          <w:b w:val="false"/>
          <w:i w:val="false"/>
          <w:caps w:val="false"/>
          <w:smallCaps w:val="false"/>
          <w:strike w:val="false"/>
          <w:dstrike w:val="false"/>
          <w:sz w:val="16"/>
          <w:u w:val="none"/>
          <w:effect w:val="none"/>
        </w:rPr>
        <w: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No</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has submitted electronically every Interactive Data File required to be submitted pursuant to Rule 405 of Regulation S-T (§ 232.405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 xml:space="preserve">of this chapter) during the preceding 12 months (or for such shorter period that the registrant was required to submit such files). </w:t>
      </w:r>
      <w:r>
        <w:rPr>
          <w:rFonts w:ascii="Wingdings;sans-serif" w:hAnsi="Wingdings;sans-serif"/>
          <w:b w:val="false"/>
          <w:i w:val="false"/>
          <w:caps w:val="false"/>
          <w:smallCaps w:val="false"/>
          <w:strike w:val="false"/>
          <w:dstrike w:val="false"/>
          <w:sz w:val="16"/>
          <w:u w:val="none"/>
          <w:effect w:val="none"/>
        </w:rPr>
        <w:t>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Yes</w:t>
      </w:r>
      <w:r>
        <w:rPr>
          <w:caps w:val="false"/>
          <w:smallCaps w:val="false"/>
          <w:strike w:val="false"/>
          <w:dstrike w:val="false"/>
          <w:sz w:val="24"/>
          <w:u w:val="none"/>
          <w:effect w:val="none"/>
        </w:rPr>
        <w:t xml:space="preserve"> </w:t>
      </w:r>
      <w:r>
        <w:rPr>
          <w:rFonts w:ascii="Wingdings;sans-serif" w:hAnsi="Wingdings;sans-serif"/>
          <w:b w:val="false"/>
          <w:i w:val="false"/>
          <w:caps w:val="false"/>
          <w:smallCaps w:val="false"/>
          <w:strike w:val="false"/>
          <w:dstrike w:val="false"/>
          <w:sz w:val="16"/>
          <w:u w:val="none"/>
          <w:effect w:val="none"/>
        </w:rPr>
        <w: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No</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is a large accelerated filer, an accelerated filer, a non-accelerated filer, a smaller reporting company, or an emerging growth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company. See the definitions of “large accelerated filer,” “accelerated filer,” “smaller reporting company” and "emerging growth company" in Rule 12b-2 of the Exchange Act. </w:t>
      </w:r>
    </w:p>
    <w:tbl>
      <w:tblPr>
        <w:tblW w:w="4883" w:type="dxa"/>
        <w:jc w:val="left"/>
        <w:tblInd w:w="0" w:type="dxa"/>
        <w:tblLayout w:type="fixed"/>
        <w:tblCellMar>
          <w:top w:w="28" w:type="dxa"/>
          <w:left w:w="28" w:type="dxa"/>
          <w:bottom w:w="28" w:type="dxa"/>
          <w:right w:w="28" w:type="dxa"/>
        </w:tblCellMar>
      </w:tblPr>
      <w:tblGrid>
        <w:gridCol w:w="2101"/>
        <w:gridCol w:w="286"/>
        <w:gridCol w:w="109"/>
        <w:gridCol w:w="2086"/>
        <w:gridCol w:w="301"/>
      </w:tblGrid>
      <w:tr>
        <w:trPr/>
        <w:tc>
          <w:tcPr>
            <w:tcW w:w="21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Large Accelerated Filer</w:t>
            </w:r>
          </w:p>
        </w:tc>
        <w:tc>
          <w:tcPr>
            <w:tcW w:w="286" w:type="dxa"/>
            <w:tcBorders/>
            <w:vAlign w:val="center"/>
          </w:tcPr>
          <w:p>
            <w:pPr>
              <w:pStyle w:val="TableContents"/>
              <w:bidi w:val="0"/>
              <w:spacing w:lineRule="atLeast" w:line="160" w:before="0" w:after="0"/>
              <w:jc w:val="left"/>
              <w:rPr>
                <w:rFonts w:ascii="Wingdings;sans-serif" w:hAnsi="Wingdings;sans-serif"/>
                <w:b w:val="false"/>
                <w:i w:val="false"/>
                <w:caps w:val="false"/>
                <w:smallCaps w:val="false"/>
                <w:strike w:val="false"/>
                <w:dstrike w:val="false"/>
                <w:color w:val="000000"/>
                <w:sz w:val="16"/>
                <w:u w:val="none"/>
                <w:effect w:val="none"/>
              </w:rPr>
            </w:pPr>
            <w:r>
              <w:rPr>
                <w:rFonts w:ascii="Wingdings;sans-serif" w:hAnsi="Wingdings;sans-serif"/>
                <w:b w:val="false"/>
                <w:i w:val="false"/>
                <w:caps w:val="false"/>
                <w:smallCaps w:val="false"/>
                <w:strike w:val="false"/>
                <w:dstrike w:val="false"/>
                <w:color w:val="000000"/>
                <w:sz w:val="16"/>
                <w:u w:val="none"/>
                <w:effect w:val="none"/>
              </w:rPr>
              <w:t>o</w:t>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Accelerated Filer</w:t>
            </w:r>
          </w:p>
        </w:tc>
        <w:tc>
          <w:tcPr>
            <w:tcW w:w="301" w:type="dxa"/>
            <w:tcBorders/>
            <w:vAlign w:val="center"/>
          </w:tcPr>
          <w:p>
            <w:pPr>
              <w:pStyle w:val="TableContents"/>
              <w:bidi w:val="0"/>
              <w:spacing w:lineRule="atLeast" w:line="160" w:before="0" w:after="0"/>
              <w:jc w:val="left"/>
              <w:rPr>
                <w:rFonts w:ascii="Wingdings;sans-serif" w:hAnsi="Wingdings;sans-serif"/>
                <w:b w:val="false"/>
                <w:i w:val="false"/>
                <w:caps w:val="false"/>
                <w:smallCaps w:val="false"/>
                <w:strike w:val="false"/>
                <w:dstrike w:val="false"/>
                <w:color w:val="000000"/>
                <w:sz w:val="16"/>
                <w:u w:val="none"/>
                <w:effect w:val="none"/>
              </w:rPr>
            </w:pPr>
            <w:r>
              <w:rPr>
                <w:rFonts w:ascii="Wingdings;sans-serif" w:hAnsi="Wingdings;sans-serif"/>
                <w:b w:val="false"/>
                <w:i w:val="false"/>
                <w:caps w:val="false"/>
                <w:smallCaps w:val="false"/>
                <w:strike w:val="false"/>
                <w:dstrike w:val="false"/>
                <w:color w:val="000000"/>
                <w:sz w:val="16"/>
                <w:u w:val="none"/>
                <w:effect w:val="none"/>
              </w:rPr>
              <w:t>o</w:t>
            </w:r>
          </w:p>
        </w:tc>
      </w:tr>
      <w:tr>
        <w:trPr/>
        <w:tc>
          <w:tcPr>
            <w:tcW w:w="21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 - Accelerated Filer</w:t>
            </w:r>
          </w:p>
        </w:tc>
        <w:tc>
          <w:tcPr>
            <w:tcW w:w="286" w:type="dxa"/>
            <w:tcBorders/>
            <w:vAlign w:val="center"/>
          </w:tcPr>
          <w:p>
            <w:pPr>
              <w:pStyle w:val="TableContents"/>
              <w:bidi w:val="0"/>
              <w:spacing w:lineRule="atLeast" w:line="160" w:before="0" w:after="0"/>
              <w:jc w:val="left"/>
              <w:rPr>
                <w:rFonts w:ascii="Wingdings;sans-serif" w:hAnsi="Wingdings;sans-serif"/>
                <w:b w:val="false"/>
                <w:i w:val="false"/>
                <w:caps w:val="false"/>
                <w:smallCaps w:val="false"/>
                <w:strike w:val="false"/>
                <w:dstrike w:val="false"/>
                <w:color w:val="000000"/>
                <w:sz w:val="16"/>
                <w:u w:val="none"/>
                <w:effect w:val="none"/>
              </w:rPr>
            </w:pPr>
            <w:r>
              <w:rPr>
                <w:rFonts w:ascii="Wingdings;sans-serif" w:hAnsi="Wingdings;sans-serif"/>
                <w:b w:val="false"/>
                <w:i w:val="false"/>
                <w:caps w:val="false"/>
                <w:smallCaps w:val="false"/>
                <w:strike w:val="false"/>
                <w:dstrike w:val="false"/>
                <w:color w:val="000000"/>
                <w:sz w:val="16"/>
                <w:u w:val="none"/>
                <w:effect w:val="none"/>
              </w:rPr>
              <w:t>x</w:t>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Smaller Reporting Company</w:t>
            </w:r>
          </w:p>
        </w:tc>
        <w:tc>
          <w:tcPr>
            <w:tcW w:w="301" w:type="dxa"/>
            <w:tcBorders/>
            <w:vAlign w:val="center"/>
          </w:tcPr>
          <w:p>
            <w:pPr>
              <w:pStyle w:val="TableContents"/>
              <w:bidi w:val="0"/>
              <w:spacing w:lineRule="atLeast" w:line="160" w:before="0" w:after="0"/>
              <w:jc w:val="left"/>
              <w:rPr>
                <w:rFonts w:ascii="Wingdings;sans-serif" w:hAnsi="Wingdings;sans-serif"/>
                <w:b w:val="false"/>
                <w:i w:val="false"/>
                <w:caps w:val="false"/>
                <w:smallCaps w:val="false"/>
                <w:strike w:val="false"/>
                <w:dstrike w:val="false"/>
                <w:color w:val="000000"/>
                <w:sz w:val="16"/>
                <w:u w:val="none"/>
                <w:effect w:val="none"/>
              </w:rPr>
            </w:pPr>
            <w:r>
              <w:rPr>
                <w:rFonts w:ascii="Wingdings;sans-serif" w:hAnsi="Wingdings;sans-serif"/>
                <w:b w:val="false"/>
                <w:i w:val="false"/>
                <w:caps w:val="false"/>
                <w:smallCaps w:val="false"/>
                <w:strike w:val="false"/>
                <w:dstrike w:val="false"/>
                <w:color w:val="000000"/>
                <w:sz w:val="16"/>
                <w:u w:val="none"/>
                <w:effect w:val="none"/>
              </w:rPr>
              <w:t>o</w:t>
            </w:r>
          </w:p>
        </w:tc>
      </w:tr>
      <w:tr>
        <w:trPr/>
        <w:tc>
          <w:tcPr>
            <w:tcW w:w="21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Emerging Growth Company</w:t>
            </w:r>
          </w:p>
        </w:tc>
        <w:tc>
          <w:tcPr>
            <w:tcW w:w="286" w:type="dxa"/>
            <w:tcBorders/>
            <w:vAlign w:val="center"/>
          </w:tcPr>
          <w:p>
            <w:pPr>
              <w:pStyle w:val="TableContents"/>
              <w:bidi w:val="0"/>
              <w:spacing w:lineRule="atLeast" w:line="160" w:before="0" w:after="0"/>
              <w:jc w:val="left"/>
              <w:rPr>
                <w:rFonts w:ascii="Wingdings;sans-serif" w:hAnsi="Wingdings;sans-serif"/>
                <w:b w:val="false"/>
                <w:i w:val="false"/>
                <w:caps w:val="false"/>
                <w:smallCaps w:val="false"/>
                <w:strike w:val="false"/>
                <w:dstrike w:val="false"/>
                <w:color w:val="000000"/>
                <w:sz w:val="16"/>
                <w:u w:val="none"/>
                <w:effect w:val="none"/>
              </w:rPr>
            </w:pPr>
            <w:r>
              <w:rPr>
                <w:rFonts w:ascii="Wingdings;sans-serif" w:hAnsi="Wingdings;sans-serif"/>
                <w:b w:val="false"/>
                <w:i w:val="false"/>
                <w:caps w:val="false"/>
                <w:smallCaps w:val="false"/>
                <w:strike w:val="false"/>
                <w:dstrike w:val="false"/>
                <w:color w:val="000000"/>
                <w:sz w:val="16"/>
                <w:u w:val="none"/>
                <w:effect w:val="none"/>
              </w:rPr>
              <w:t>o</w:t>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If an emerging growth company, indicate by check mark if the registrant has elected not to use the extended transition period for complying with any new or revised financial </w:t>
      </w:r>
    </w:p>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 xml:space="preserve">accounting standards provided pursuant to Section 13(a) of the Exchange Act. </w:t>
      </w:r>
      <w:r>
        <w:rPr>
          <w:rFonts w:ascii="Wingdings;sans-serif" w:hAnsi="Wingdings;sans-serif"/>
          <w:b w:val="false"/>
          <w:i w:val="false"/>
          <w:caps w:val="false"/>
          <w:smallCaps w:val="false"/>
          <w:strike w:val="false"/>
          <w:dstrike w:val="false"/>
          <w:sz w:val="16"/>
          <w:u w:val="none"/>
          <w:effect w:val="none"/>
        </w:rPr>
        <w:t>o</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is a shell company (as defined in Rule 12b-2 of the Act). </w:t>
      </w:r>
      <w:r>
        <w:rPr>
          <w:rFonts w:ascii="Wingdings;sans-serif" w:hAnsi="Wingdings;sans-serif"/>
          <w:b w:val="false"/>
          <w:i w:val="false"/>
          <w:caps w:val="false"/>
          <w:smallCaps w:val="false"/>
          <w:strike w:val="false"/>
          <w:dstrike w:val="false"/>
          <w:sz w:val="16"/>
          <w:u w:val="none"/>
          <w:effect w:val="none"/>
        </w:rPr>
        <w: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Yes </w:t>
      </w:r>
      <w:r>
        <w:rPr>
          <w:rFonts w:ascii="Wingdings;sans-serif" w:hAnsi="Wingdings;sans-serif"/>
          <w:b w:val="false"/>
          <w:i w:val="false"/>
          <w:caps w:val="false"/>
          <w:smallCaps w:val="false"/>
          <w:strike w:val="false"/>
          <w:dstrike w:val="false"/>
          <w:sz w:val="16"/>
          <w:u w:val="none"/>
          <w:effect w:val="none"/>
        </w:rPr>
        <w:t>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No</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As of August 7, 2026, the registrant had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215,807,019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of Class A common stock outstanding and 37,568,944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of Class B common stock outstanding.</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TABLE OF CONTENTS</w:t>
      </w:r>
    </w:p>
    <w:tbl>
      <w:tblPr>
        <w:tblW w:w="10205" w:type="dxa"/>
        <w:jc w:val="left"/>
        <w:tblInd w:w="0" w:type="dxa"/>
        <w:tblLayout w:type="fixed"/>
        <w:tblCellMar>
          <w:top w:w="28" w:type="dxa"/>
          <w:left w:w="28" w:type="dxa"/>
          <w:bottom w:w="28" w:type="dxa"/>
          <w:right w:w="28" w:type="dxa"/>
        </w:tblCellMar>
      </w:tblPr>
      <w:tblGrid>
        <w:gridCol w:w="715"/>
        <w:gridCol w:w="8714"/>
        <w:gridCol w:w="776"/>
      </w:tblGrid>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Page No.</w:t>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3">
              <w:r>
                <w:rPr>
                  <w:rStyle w:val="InternetLink"/>
                  <w:rFonts w:ascii="Times New Roman;serif" w:hAnsi="Times New Roman;serif"/>
                  <w:b/>
                  <w:i w:val="false"/>
                  <w:caps w:val="false"/>
                  <w:smallCaps w:val="false"/>
                  <w:color w:val="0000FF"/>
                  <w:sz w:val="16"/>
                  <w:u w:val="single"/>
                </w:rPr>
                <w:t>PART I</w:t>
              </w:r>
            </w:hyperlink>
          </w:p>
        </w:tc>
        <w:tc>
          <w:tcPr>
            <w:tcW w:w="871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INFORMATION</w:t>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6">
              <w:r>
                <w:rPr>
                  <w:rStyle w:val="InternetLink"/>
                  <w:rFonts w:ascii="Times New Roman;serif" w:hAnsi="Times New Roman;serif"/>
                  <w:b w:val="false"/>
                  <w:i w:val="false"/>
                  <w:caps w:val="false"/>
                  <w:smallCaps w:val="false"/>
                  <w:color w:val="0000FF"/>
                  <w:sz w:val="16"/>
                  <w:u w:val="single"/>
                </w:rPr>
                <w:t>Item 1</w:t>
              </w:r>
            </w:hyperlink>
          </w:p>
        </w:tc>
        <w:tc>
          <w:tcPr>
            <w:tcW w:w="8714" w:type="dxa"/>
            <w:tcBorders/>
            <w:vAlign w:val="center"/>
          </w:tcPr>
          <w:p>
            <w:pPr>
              <w:pStyle w:val="TableContents"/>
              <w:bidi w:val="0"/>
              <w:spacing w:lineRule="atLeast" w:line="160" w:before="0" w:after="0"/>
              <w:jc w:val="left"/>
              <w:rPr/>
            </w:pPr>
            <w:hyperlink w:anchor="i5fdfea6782b54504b07970914d233dfc_16">
              <w:r>
                <w:rPr>
                  <w:rStyle w:val="InternetLink"/>
                  <w:rFonts w:ascii="Times New Roman;serif" w:hAnsi="Times New Roman;serif"/>
                  <w:b w:val="false"/>
                  <w:i w:val="false"/>
                  <w:caps w:val="false"/>
                  <w:smallCaps w:val="false"/>
                  <w:color w:val="0000FF"/>
                  <w:sz w:val="16"/>
                  <w:u w:val="single"/>
                </w:rPr>
                <w:t>Financial Statements and Supplementary Data</w:t>
              </w:r>
            </w:hyperlink>
          </w:p>
        </w:tc>
        <w:tc>
          <w:tcPr>
            <w:tcW w:w="776" w:type="dxa"/>
            <w:tcBorders/>
            <w:vAlign w:val="center"/>
          </w:tcPr>
          <w:p>
            <w:pPr>
              <w:pStyle w:val="TableContents"/>
              <w:bidi w:val="0"/>
              <w:spacing w:lineRule="atLeast" w:line="160" w:before="0" w:after="0"/>
              <w:jc w:val="left"/>
              <w:rPr/>
            </w:pPr>
            <w:hyperlink w:anchor="i5fdfea6782b54504b07970914d233dfc_13">
              <w:r>
                <w:rPr>
                  <w:rStyle w:val="InternetLink"/>
                  <w:rFonts w:ascii="Times New Roman;serif" w:hAnsi="Times New Roman;serif"/>
                  <w:b w:val="false"/>
                  <w:i w:val="false"/>
                  <w:caps w:val="false"/>
                  <w:smallCaps w:val="false"/>
                  <w:color w:val="0000FF"/>
                  <w:sz w:val="16"/>
                  <w:u w:val="single"/>
                </w:rPr>
                <w:t>5</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22">
              <w:r>
                <w:rPr>
                  <w:rStyle w:val="InternetLink"/>
                  <w:rFonts w:ascii="Times New Roman;serif" w:hAnsi="Times New Roman;serif"/>
                  <w:b w:val="false"/>
                  <w:i w:val="false"/>
                  <w:caps w:val="false"/>
                  <w:smallCaps w:val="false"/>
                  <w:color w:val="0000FF"/>
                  <w:sz w:val="16"/>
                  <w:u w:val="single"/>
                </w:rPr>
                <w:t>Unaudited Condensed Consolidated Financial Statements</w:t>
              </w:r>
            </w:hyperlink>
          </w:p>
        </w:tc>
        <w:tc>
          <w:tcPr>
            <w:tcW w:w="776" w:type="dxa"/>
            <w:tcBorders/>
            <w:vAlign w:val="center"/>
          </w:tcPr>
          <w:p>
            <w:pPr>
              <w:pStyle w:val="TableContents"/>
              <w:bidi w:val="0"/>
              <w:spacing w:lineRule="atLeast" w:line="160" w:before="0" w:after="0"/>
              <w:jc w:val="left"/>
              <w:rPr/>
            </w:pPr>
            <w:hyperlink w:anchor="i5fdfea6782b54504b07970914d233dfc_22">
              <w:r>
                <w:rPr>
                  <w:rStyle w:val="InternetLink"/>
                  <w:rFonts w:ascii="Times New Roman;serif" w:hAnsi="Times New Roman;serif"/>
                  <w:b w:val="false"/>
                  <w:i w:val="false"/>
                  <w:caps w:val="false"/>
                  <w:smallCaps w:val="false"/>
                  <w:color w:val="0000FF"/>
                  <w:sz w:val="16"/>
                  <w:u w:val="single"/>
                </w:rPr>
                <w:t>6</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22">
              <w:r>
                <w:rPr>
                  <w:rStyle w:val="InternetLink"/>
                  <w:rFonts w:ascii="Times New Roman;serif" w:hAnsi="Times New Roman;serif"/>
                  <w:b w:val="false"/>
                  <w:i w:val="false"/>
                  <w:caps w:val="false"/>
                  <w:smallCaps w:val="false"/>
                  <w:color w:val="0000FF"/>
                  <w:sz w:val="16"/>
                  <w:u w:val="single"/>
                </w:rPr>
                <w:t>Condensed Consolidated Balance Sheets as of June 30, 2026 and December 31, 2025</w:t>
              </w:r>
            </w:hyperlink>
          </w:p>
        </w:tc>
        <w:tc>
          <w:tcPr>
            <w:tcW w:w="776" w:type="dxa"/>
            <w:tcBorders/>
            <w:vAlign w:val="center"/>
          </w:tcPr>
          <w:p>
            <w:pPr>
              <w:pStyle w:val="TableContents"/>
              <w:bidi w:val="0"/>
              <w:spacing w:lineRule="atLeast" w:line="160" w:before="0" w:after="0"/>
              <w:jc w:val="left"/>
              <w:rPr/>
            </w:pPr>
            <w:hyperlink w:anchor="i5fdfea6782b54504b07970914d233dfc_22">
              <w:r>
                <w:rPr>
                  <w:rStyle w:val="InternetLink"/>
                  <w:rFonts w:ascii="Times New Roman;serif" w:hAnsi="Times New Roman;serif"/>
                  <w:b w:val="false"/>
                  <w:i w:val="false"/>
                  <w:caps w:val="false"/>
                  <w:smallCaps w:val="false"/>
                  <w:color w:val="0000FF"/>
                  <w:sz w:val="16"/>
                  <w:u w:val="single"/>
                </w:rPr>
                <w:t>6</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25">
              <w:r>
                <w:rPr>
                  <w:rStyle w:val="InternetLink"/>
                  <w:rFonts w:ascii="Times New Roman;serif" w:hAnsi="Times New Roman;serif"/>
                  <w:b w:val="false"/>
                  <w:i w:val="false"/>
                  <w:caps w:val="false"/>
                  <w:smallCaps w:val="false"/>
                  <w:color w:val="0000FF"/>
                  <w:sz w:val="16"/>
                  <w:u w:val="single"/>
                </w:rPr>
                <w:t>Condensed Consolidated Statements of Operations for the Three and Six Months Ended June 30, 2026 and 2025</w:t>
              </w:r>
            </w:hyperlink>
          </w:p>
        </w:tc>
        <w:tc>
          <w:tcPr>
            <w:tcW w:w="776" w:type="dxa"/>
            <w:tcBorders/>
            <w:vAlign w:val="center"/>
          </w:tcPr>
          <w:p>
            <w:pPr>
              <w:pStyle w:val="TableContents"/>
              <w:bidi w:val="0"/>
              <w:spacing w:lineRule="atLeast" w:line="160" w:before="0" w:after="0"/>
              <w:jc w:val="left"/>
              <w:rPr/>
            </w:pPr>
            <w:hyperlink w:anchor="i5fdfea6782b54504b07970914d233dfc_25">
              <w:r>
                <w:rPr>
                  <w:rStyle w:val="InternetLink"/>
                  <w:rFonts w:ascii="Times New Roman;serif" w:hAnsi="Times New Roman;serif"/>
                  <w:b w:val="false"/>
                  <w:i w:val="false"/>
                  <w:caps w:val="false"/>
                  <w:smallCaps w:val="false"/>
                  <w:color w:val="0000FF"/>
                  <w:sz w:val="16"/>
                  <w:u w:val="single"/>
                </w:rPr>
                <w:t>7</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28">
              <w:r>
                <w:rPr>
                  <w:rStyle w:val="InternetLink"/>
                  <w:rFonts w:ascii="Times New Roman;serif" w:hAnsi="Times New Roman;serif"/>
                  <w:b w:val="false"/>
                  <w:i w:val="false"/>
                  <w:caps w:val="false"/>
                  <w:smallCaps w:val="false"/>
                  <w:color w:val="0000FF"/>
                  <w:sz w:val="16"/>
                  <w:u w:val="single"/>
                </w:rPr>
                <w:t>Condensed Consolidated Statements of Comprehensive Income (Loss) for the Three and Six Months Ended June 30, 2026 and 2025</w:t>
              </w:r>
            </w:hyperlink>
          </w:p>
        </w:tc>
        <w:tc>
          <w:tcPr>
            <w:tcW w:w="776" w:type="dxa"/>
            <w:tcBorders/>
            <w:vAlign w:val="center"/>
          </w:tcPr>
          <w:p>
            <w:pPr>
              <w:pStyle w:val="TableContents"/>
              <w:bidi w:val="0"/>
              <w:spacing w:lineRule="atLeast" w:line="160" w:before="0" w:after="0"/>
              <w:jc w:val="left"/>
              <w:rPr/>
            </w:pPr>
            <w:hyperlink w:anchor="i5fdfea6782b54504b07970914d233dfc_28">
              <w:r>
                <w:rPr>
                  <w:rStyle w:val="InternetLink"/>
                  <w:rFonts w:ascii="Times New Roman;serif" w:hAnsi="Times New Roman;serif"/>
                  <w:b w:val="false"/>
                  <w:i w:val="false"/>
                  <w:caps w:val="false"/>
                  <w:smallCaps w:val="false"/>
                  <w:color w:val="0000FF"/>
                  <w:sz w:val="16"/>
                  <w:u w:val="single"/>
                </w:rPr>
                <w:t>8</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31">
              <w:r>
                <w:rPr>
                  <w:rStyle w:val="InternetLink"/>
                  <w:rFonts w:ascii="Times New Roman;serif" w:hAnsi="Times New Roman;serif"/>
                  <w:b w:val="false"/>
                  <w:i w:val="false"/>
                  <w:caps w:val="false"/>
                  <w:smallCaps w:val="false"/>
                  <w:color w:val="0000FF"/>
                  <w:sz w:val="16"/>
                  <w:u w:val="single"/>
                </w:rPr>
                <w:t>Condensed Consolidated Statements of Perpetual Preferred Stock and Equity for the Three and Six Months Ended June 30, 2026 and 2025</w:t>
              </w:r>
            </w:hyperlink>
          </w:p>
        </w:tc>
        <w:tc>
          <w:tcPr>
            <w:tcW w:w="776" w:type="dxa"/>
            <w:tcBorders/>
            <w:vAlign w:val="center"/>
          </w:tcPr>
          <w:p>
            <w:pPr>
              <w:pStyle w:val="TableContents"/>
              <w:bidi w:val="0"/>
              <w:spacing w:lineRule="atLeast" w:line="160" w:before="0" w:after="0"/>
              <w:jc w:val="left"/>
              <w:rPr/>
            </w:pPr>
            <w:hyperlink w:anchor="i5fdfea6782b54504b07970914d233dfc_31">
              <w:r>
                <w:rPr>
                  <w:rStyle w:val="InternetLink"/>
                  <w:rFonts w:ascii="Times New Roman;serif" w:hAnsi="Times New Roman;serif"/>
                  <w:b w:val="false"/>
                  <w:i w:val="false"/>
                  <w:caps w:val="false"/>
                  <w:smallCaps w:val="false"/>
                  <w:color w:val="0000FF"/>
                  <w:sz w:val="16"/>
                  <w:u w:val="single"/>
                </w:rPr>
                <w:t>9</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34">
              <w:r>
                <w:rPr>
                  <w:rStyle w:val="InternetLink"/>
                  <w:rFonts w:ascii="Times New Roman;serif" w:hAnsi="Times New Roman;serif"/>
                  <w:b w:val="false"/>
                  <w:i w:val="false"/>
                  <w:caps w:val="false"/>
                  <w:smallCaps w:val="false"/>
                  <w:color w:val="0000FF"/>
                  <w:sz w:val="16"/>
                  <w:u w:val="single"/>
                </w:rPr>
                <w:t>Condensed Consolidated Statements of Cash Flows for the Six Months Ended June 30, 2026 and 2025</w:t>
              </w:r>
            </w:hyperlink>
          </w:p>
        </w:tc>
        <w:tc>
          <w:tcPr>
            <w:tcW w:w="776" w:type="dxa"/>
            <w:tcBorders/>
            <w:vAlign w:val="center"/>
          </w:tcPr>
          <w:p>
            <w:pPr>
              <w:pStyle w:val="TableContents"/>
              <w:bidi w:val="0"/>
              <w:spacing w:lineRule="atLeast" w:line="160" w:before="0" w:after="0"/>
              <w:jc w:val="left"/>
              <w:rPr/>
            </w:pPr>
            <w:hyperlink w:anchor="i5fdfea6782b54504b07970914d233dfc_34">
              <w:r>
                <w:rPr>
                  <w:rStyle w:val="InternetLink"/>
                  <w:rFonts w:ascii="Times New Roman;serif" w:hAnsi="Times New Roman;serif"/>
                  <w:b w:val="false"/>
                  <w:i w:val="false"/>
                  <w:caps w:val="false"/>
                  <w:smallCaps w:val="false"/>
                  <w:color w:val="0000FF"/>
                  <w:sz w:val="16"/>
                  <w:u w:val="single"/>
                </w:rPr>
                <w:t>11</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lineRule="atLeast" w:line="160" w:before="0" w:after="0"/>
              <w:jc w:val="left"/>
              <w:rPr/>
            </w:pPr>
            <w:hyperlink w:anchor="i5fdfea6782b54504b07970914d233dfc_37">
              <w:r>
                <w:rPr>
                  <w:rStyle w:val="InternetLink"/>
                  <w:rFonts w:ascii="Times New Roman;serif" w:hAnsi="Times New Roman;serif"/>
                  <w:b w:val="false"/>
                  <w:i w:val="false"/>
                  <w:caps w:val="false"/>
                  <w:smallCaps w:val="false"/>
                  <w:color w:val="0000FF"/>
                  <w:sz w:val="16"/>
                  <w:u w:val="single"/>
                </w:rPr>
                <w:t>Notes to Condensed Consolidated Financial Statements</w:t>
              </w:r>
            </w:hyperlink>
          </w:p>
        </w:tc>
        <w:tc>
          <w:tcPr>
            <w:tcW w:w="776" w:type="dxa"/>
            <w:tcBorders/>
            <w:vAlign w:val="center"/>
          </w:tcPr>
          <w:p>
            <w:pPr>
              <w:pStyle w:val="TableContents"/>
              <w:bidi w:val="0"/>
              <w:spacing w:lineRule="atLeast" w:line="160" w:before="0" w:after="0"/>
              <w:jc w:val="left"/>
              <w:rPr/>
            </w:pPr>
            <w:hyperlink w:anchor="i5fdfea6782b54504b07970914d233dfc_37">
              <w:r>
                <w:rPr>
                  <w:rStyle w:val="InternetLink"/>
                  <w:rFonts w:ascii="Times New Roman;serif" w:hAnsi="Times New Roman;serif"/>
                  <w:b w:val="false"/>
                  <w:i w:val="false"/>
                  <w:caps w:val="false"/>
                  <w:smallCaps w:val="false"/>
                  <w:color w:val="0000FF"/>
                  <w:sz w:val="16"/>
                  <w:u w:val="single"/>
                </w:rPr>
                <w:t>12</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24">
              <w:r>
                <w:rPr>
                  <w:rStyle w:val="InternetLink"/>
                  <w:rFonts w:ascii="Times New Roman;serif" w:hAnsi="Times New Roman;serif"/>
                  <w:b w:val="false"/>
                  <w:i w:val="false"/>
                  <w:caps w:val="false"/>
                  <w:smallCaps w:val="false"/>
                  <w:color w:val="0000FF"/>
                  <w:sz w:val="16"/>
                  <w:u w:val="single"/>
                </w:rPr>
                <w:t>Item 2</w:t>
              </w:r>
            </w:hyperlink>
          </w:p>
        </w:tc>
        <w:tc>
          <w:tcPr>
            <w:tcW w:w="8714" w:type="dxa"/>
            <w:tcBorders/>
            <w:vAlign w:val="center"/>
          </w:tcPr>
          <w:p>
            <w:pPr>
              <w:pStyle w:val="TableContents"/>
              <w:bidi w:val="0"/>
              <w:spacing w:lineRule="atLeast" w:line="160" w:before="0" w:after="0"/>
              <w:jc w:val="left"/>
              <w:rPr/>
            </w:pPr>
            <w:hyperlink w:anchor="i5fdfea6782b54504b07970914d233dfc_124">
              <w:r>
                <w:rPr>
                  <w:rStyle w:val="InternetLink"/>
                  <w:rFonts w:ascii="Times New Roman;serif" w:hAnsi="Times New Roman;serif"/>
                  <w:b w:val="false"/>
                  <w:i w:val="false"/>
                  <w:caps w:val="false"/>
                  <w:smallCaps w:val="false"/>
                  <w:color w:val="0000FF"/>
                  <w:sz w:val="16"/>
                  <w:u w:val="single"/>
                </w:rPr>
                <w:t>Management’s Discussion and Analysis of Financial Conditions and Results of Operations</w:t>
              </w:r>
            </w:hyperlink>
          </w:p>
        </w:tc>
        <w:tc>
          <w:tcPr>
            <w:tcW w:w="776" w:type="dxa"/>
            <w:tcBorders/>
            <w:vAlign w:val="center"/>
          </w:tcPr>
          <w:p>
            <w:pPr>
              <w:pStyle w:val="TableContents"/>
              <w:bidi w:val="0"/>
              <w:spacing w:lineRule="atLeast" w:line="160" w:before="0" w:after="0"/>
              <w:jc w:val="left"/>
              <w:rPr/>
            </w:pPr>
            <w:hyperlink w:anchor="i5fdfea6782b54504b07970914d233dfc_124">
              <w:r>
                <w:rPr>
                  <w:rStyle w:val="InternetLink"/>
                  <w:rFonts w:ascii="Times New Roman;serif" w:hAnsi="Times New Roman;serif"/>
                  <w:b w:val="false"/>
                  <w:i w:val="false"/>
                  <w:caps w:val="false"/>
                  <w:smallCaps w:val="false"/>
                  <w:color w:val="0000FF"/>
                  <w:sz w:val="16"/>
                  <w:u w:val="single"/>
                </w:rPr>
                <w:t>38</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66">
              <w:r>
                <w:rPr>
                  <w:rStyle w:val="InternetLink"/>
                  <w:rFonts w:ascii="Times New Roman;serif" w:hAnsi="Times New Roman;serif"/>
                  <w:b w:val="false"/>
                  <w:i w:val="false"/>
                  <w:caps w:val="false"/>
                  <w:smallCaps w:val="false"/>
                  <w:color w:val="0000FF"/>
                  <w:sz w:val="16"/>
                  <w:u w:val="single"/>
                </w:rPr>
                <w:t>Item 3</w:t>
              </w:r>
            </w:hyperlink>
          </w:p>
        </w:tc>
        <w:tc>
          <w:tcPr>
            <w:tcW w:w="8714" w:type="dxa"/>
            <w:tcBorders/>
            <w:vAlign w:val="center"/>
          </w:tcPr>
          <w:p>
            <w:pPr>
              <w:pStyle w:val="TableContents"/>
              <w:bidi w:val="0"/>
              <w:spacing w:lineRule="atLeast" w:line="160" w:before="0" w:after="0"/>
              <w:jc w:val="left"/>
              <w:rPr/>
            </w:pPr>
            <w:hyperlink w:anchor="i5fdfea6782b54504b07970914d233dfc_166">
              <w:r>
                <w:rPr>
                  <w:rStyle w:val="InternetLink"/>
                  <w:rFonts w:ascii="Times New Roman;serif" w:hAnsi="Times New Roman;serif"/>
                  <w:b w:val="false"/>
                  <w:i w:val="false"/>
                  <w:caps w:val="false"/>
                  <w:smallCaps w:val="false"/>
                  <w:color w:val="0000FF"/>
                  <w:sz w:val="16"/>
                  <w:u w:val="single"/>
                </w:rPr>
                <w:t>Quantitative and Qualitative Disclosures About Market Risk</w:t>
              </w:r>
            </w:hyperlink>
          </w:p>
        </w:tc>
        <w:tc>
          <w:tcPr>
            <w:tcW w:w="776" w:type="dxa"/>
            <w:tcBorders/>
            <w:vAlign w:val="center"/>
          </w:tcPr>
          <w:p>
            <w:pPr>
              <w:pStyle w:val="TableContents"/>
              <w:bidi w:val="0"/>
              <w:spacing w:lineRule="atLeast" w:line="160" w:before="0" w:after="0"/>
              <w:jc w:val="left"/>
              <w:rPr/>
            </w:pPr>
            <w:hyperlink w:anchor="i5fdfea6782b54504b07970914d233dfc_166">
              <w:r>
                <w:rPr>
                  <w:rStyle w:val="InternetLink"/>
                  <w:rFonts w:ascii="Times New Roman;serif" w:hAnsi="Times New Roman;serif"/>
                  <w:b w:val="false"/>
                  <w:i w:val="false"/>
                  <w:caps w:val="false"/>
                  <w:smallCaps w:val="false"/>
                  <w:color w:val="0000FF"/>
                  <w:sz w:val="16"/>
                  <w:u w:val="single"/>
                </w:rPr>
                <w:t>65</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69">
              <w:r>
                <w:rPr>
                  <w:rStyle w:val="InternetLink"/>
                  <w:rFonts w:ascii="Times New Roman;serif" w:hAnsi="Times New Roman;serif"/>
                  <w:b w:val="false"/>
                  <w:i w:val="false"/>
                  <w:caps w:val="false"/>
                  <w:smallCaps w:val="false"/>
                  <w:color w:val="0000FF"/>
                  <w:sz w:val="16"/>
                  <w:u w:val="single"/>
                </w:rPr>
                <w:t>Item 4</w:t>
              </w:r>
            </w:hyperlink>
          </w:p>
        </w:tc>
        <w:tc>
          <w:tcPr>
            <w:tcW w:w="8714" w:type="dxa"/>
            <w:tcBorders/>
            <w:vAlign w:val="center"/>
          </w:tcPr>
          <w:p>
            <w:pPr>
              <w:pStyle w:val="TableContents"/>
              <w:bidi w:val="0"/>
              <w:spacing w:lineRule="atLeast" w:line="160" w:before="0" w:after="0"/>
              <w:jc w:val="left"/>
              <w:rPr/>
            </w:pPr>
            <w:hyperlink w:anchor="i5fdfea6782b54504b07970914d233dfc_169">
              <w:r>
                <w:rPr>
                  <w:rStyle w:val="InternetLink"/>
                  <w:rFonts w:ascii="Times New Roman;serif" w:hAnsi="Times New Roman;serif"/>
                  <w:b w:val="false"/>
                  <w:i w:val="false"/>
                  <w:caps w:val="false"/>
                  <w:smallCaps w:val="false"/>
                  <w:color w:val="0000FF"/>
                  <w:sz w:val="16"/>
                  <w:u w:val="single"/>
                </w:rPr>
                <w:t>Controls and Procedures</w:t>
              </w:r>
            </w:hyperlink>
          </w:p>
        </w:tc>
        <w:tc>
          <w:tcPr>
            <w:tcW w:w="776" w:type="dxa"/>
            <w:tcBorders/>
            <w:vAlign w:val="center"/>
          </w:tcPr>
          <w:p>
            <w:pPr>
              <w:pStyle w:val="TableContents"/>
              <w:bidi w:val="0"/>
              <w:spacing w:lineRule="atLeast" w:line="160" w:before="0" w:after="0"/>
              <w:jc w:val="left"/>
              <w:rPr/>
            </w:pPr>
            <w:hyperlink w:anchor="i5fdfea6782b54504b07970914d233dfc_169">
              <w:r>
                <w:rPr>
                  <w:rStyle w:val="InternetLink"/>
                  <w:rFonts w:ascii="Times New Roman;serif" w:hAnsi="Times New Roman;serif"/>
                  <w:b w:val="false"/>
                  <w:i w:val="false"/>
                  <w:caps w:val="false"/>
                  <w:smallCaps w:val="false"/>
                  <w:color w:val="0000FF"/>
                  <w:sz w:val="16"/>
                  <w:u w:val="single"/>
                </w:rPr>
                <w:t>66</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87">
              <w:r>
                <w:rPr>
                  <w:rStyle w:val="InternetLink"/>
                  <w:rFonts w:ascii="Times New Roman;serif" w:hAnsi="Times New Roman;serif"/>
                  <w:b/>
                  <w:i w:val="false"/>
                  <w:caps w:val="false"/>
                  <w:smallCaps w:val="false"/>
                  <w:color w:val="0000FF"/>
                  <w:sz w:val="16"/>
                  <w:u w:val="single"/>
                </w:rPr>
                <w:t>PART II</w:t>
              </w:r>
            </w:hyperlink>
          </w:p>
        </w:tc>
        <w:tc>
          <w:tcPr>
            <w:tcW w:w="871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INFORMATION</w:t>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90">
              <w:r>
                <w:rPr>
                  <w:rStyle w:val="InternetLink"/>
                  <w:rFonts w:ascii="Times New Roman;serif" w:hAnsi="Times New Roman;serif"/>
                  <w:b w:val="false"/>
                  <w:i w:val="false"/>
                  <w:caps w:val="false"/>
                  <w:smallCaps w:val="false"/>
                  <w:color w:val="0000FF"/>
                  <w:sz w:val="16"/>
                  <w:u w:val="single"/>
                </w:rPr>
                <w:t>Item 1</w:t>
              </w:r>
            </w:hyperlink>
          </w:p>
        </w:tc>
        <w:tc>
          <w:tcPr>
            <w:tcW w:w="8714" w:type="dxa"/>
            <w:tcBorders/>
            <w:vAlign w:val="center"/>
          </w:tcPr>
          <w:p>
            <w:pPr>
              <w:pStyle w:val="TableContents"/>
              <w:bidi w:val="0"/>
              <w:spacing w:lineRule="atLeast" w:line="160" w:before="0" w:after="0"/>
              <w:jc w:val="left"/>
              <w:rPr/>
            </w:pPr>
            <w:hyperlink w:anchor="i5fdfea6782b54504b07970914d233dfc_190">
              <w:r>
                <w:rPr>
                  <w:rStyle w:val="InternetLink"/>
                  <w:rFonts w:ascii="Times New Roman;serif" w:hAnsi="Times New Roman;serif"/>
                  <w:b w:val="false"/>
                  <w:i w:val="false"/>
                  <w:caps w:val="false"/>
                  <w:smallCaps w:val="false"/>
                  <w:color w:val="0000FF"/>
                  <w:sz w:val="16"/>
                  <w:u w:val="single"/>
                </w:rPr>
                <w:t>Legal Proceedings</w:t>
              </w:r>
            </w:hyperlink>
          </w:p>
        </w:tc>
        <w:tc>
          <w:tcPr>
            <w:tcW w:w="776" w:type="dxa"/>
            <w:tcBorders/>
            <w:vAlign w:val="center"/>
          </w:tcPr>
          <w:p>
            <w:pPr>
              <w:pStyle w:val="TableContents"/>
              <w:bidi w:val="0"/>
              <w:spacing w:lineRule="atLeast" w:line="160" w:before="0" w:after="0"/>
              <w:jc w:val="left"/>
              <w:rPr/>
            </w:pPr>
            <w:hyperlink w:anchor="i5fdfea6782b54504b07970914d233dfc_190">
              <w:r>
                <w:rPr>
                  <w:rStyle w:val="InternetLink"/>
                  <w:rFonts w:ascii="Times New Roman;serif" w:hAnsi="Times New Roman;serif"/>
                  <w:b w:val="false"/>
                  <w:i w:val="false"/>
                  <w:caps w:val="false"/>
                  <w:smallCaps w:val="false"/>
                  <w:color w:val="0000FF"/>
                  <w:sz w:val="16"/>
                  <w:u w:val="single"/>
                </w:rPr>
                <w:t>67</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93">
              <w:r>
                <w:rPr>
                  <w:rStyle w:val="InternetLink"/>
                  <w:rFonts w:ascii="Times New Roman;serif" w:hAnsi="Times New Roman;serif"/>
                  <w:b w:val="false"/>
                  <w:i w:val="false"/>
                  <w:caps w:val="false"/>
                  <w:smallCaps w:val="false"/>
                  <w:color w:val="0000FF"/>
                  <w:sz w:val="16"/>
                  <w:u w:val="single"/>
                </w:rPr>
                <w:t>Item 1A</w:t>
              </w:r>
            </w:hyperlink>
          </w:p>
        </w:tc>
        <w:tc>
          <w:tcPr>
            <w:tcW w:w="8714" w:type="dxa"/>
            <w:tcBorders/>
            <w:vAlign w:val="center"/>
          </w:tcPr>
          <w:p>
            <w:pPr>
              <w:pStyle w:val="TableContents"/>
              <w:bidi w:val="0"/>
              <w:spacing w:lineRule="atLeast" w:line="160" w:before="0" w:after="0"/>
              <w:jc w:val="left"/>
              <w:rPr/>
            </w:pPr>
            <w:hyperlink w:anchor="i5fdfea6782b54504b07970914d233dfc_193">
              <w:r>
                <w:rPr>
                  <w:rStyle w:val="InternetLink"/>
                  <w:rFonts w:ascii="Times New Roman;serif" w:hAnsi="Times New Roman;serif"/>
                  <w:b w:val="false"/>
                  <w:i w:val="false"/>
                  <w:caps w:val="false"/>
                  <w:smallCaps w:val="false"/>
                  <w:color w:val="0000FF"/>
                  <w:sz w:val="16"/>
                  <w:u w:val="single"/>
                </w:rPr>
                <w:t>Risk Factors</w:t>
              </w:r>
            </w:hyperlink>
          </w:p>
        </w:tc>
        <w:tc>
          <w:tcPr>
            <w:tcW w:w="776" w:type="dxa"/>
            <w:tcBorders/>
            <w:vAlign w:val="center"/>
          </w:tcPr>
          <w:p>
            <w:pPr>
              <w:pStyle w:val="TableContents"/>
              <w:bidi w:val="0"/>
              <w:spacing w:lineRule="atLeast" w:line="160" w:before="0" w:after="0"/>
              <w:jc w:val="left"/>
              <w:rPr/>
            </w:pPr>
            <w:hyperlink w:anchor="i5fdfea6782b54504b07970914d233dfc_193">
              <w:r>
                <w:rPr>
                  <w:rStyle w:val="InternetLink"/>
                  <w:rFonts w:ascii="Times New Roman;serif" w:hAnsi="Times New Roman;serif"/>
                  <w:b w:val="false"/>
                  <w:i w:val="false"/>
                  <w:caps w:val="false"/>
                  <w:smallCaps w:val="false"/>
                  <w:color w:val="0000FF"/>
                  <w:sz w:val="16"/>
                  <w:u w:val="single"/>
                </w:rPr>
                <w:t>67</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96">
              <w:r>
                <w:rPr>
                  <w:rStyle w:val="InternetLink"/>
                  <w:rFonts w:ascii="Times New Roman;serif" w:hAnsi="Times New Roman;serif"/>
                  <w:b w:val="false"/>
                  <w:i w:val="false"/>
                  <w:caps w:val="false"/>
                  <w:smallCaps w:val="false"/>
                  <w:color w:val="0000FF"/>
                  <w:sz w:val="16"/>
                  <w:u w:val="single"/>
                </w:rPr>
                <w:t>Item 2</w:t>
              </w:r>
            </w:hyperlink>
          </w:p>
        </w:tc>
        <w:tc>
          <w:tcPr>
            <w:tcW w:w="8714" w:type="dxa"/>
            <w:tcBorders/>
            <w:vAlign w:val="center"/>
          </w:tcPr>
          <w:p>
            <w:pPr>
              <w:pStyle w:val="TableContents"/>
              <w:bidi w:val="0"/>
              <w:spacing w:lineRule="atLeast" w:line="160" w:before="0" w:after="0"/>
              <w:jc w:val="left"/>
              <w:rPr/>
            </w:pPr>
            <w:hyperlink w:anchor="i5fdfea6782b54504b07970914d233dfc_196">
              <w:r>
                <w:rPr>
                  <w:rStyle w:val="InternetLink"/>
                  <w:rFonts w:ascii="Times New Roman;serif" w:hAnsi="Times New Roman;serif"/>
                  <w:b w:val="false"/>
                  <w:i w:val="false"/>
                  <w:caps w:val="false"/>
                  <w:smallCaps w:val="false"/>
                  <w:color w:val="0000FF"/>
                  <w:sz w:val="16"/>
                  <w:u w:val="single"/>
                </w:rPr>
                <w:t>Unregistered Sales of Equity Securities and Use of Proceeds</w:t>
              </w:r>
            </w:hyperlink>
          </w:p>
        </w:tc>
        <w:tc>
          <w:tcPr>
            <w:tcW w:w="776" w:type="dxa"/>
            <w:tcBorders/>
            <w:vAlign w:val="center"/>
          </w:tcPr>
          <w:p>
            <w:pPr>
              <w:pStyle w:val="TableContents"/>
              <w:bidi w:val="0"/>
              <w:spacing w:lineRule="atLeast" w:line="160" w:before="0" w:after="0"/>
              <w:jc w:val="left"/>
              <w:rPr/>
            </w:pPr>
            <w:hyperlink w:anchor="i5fdfea6782b54504b07970914d233dfc_196">
              <w:r>
                <w:rPr>
                  <w:rStyle w:val="InternetLink"/>
                  <w:rFonts w:ascii="Times New Roman;serif" w:hAnsi="Times New Roman;serif"/>
                  <w:b w:val="false"/>
                  <w:i w:val="false"/>
                  <w:caps w:val="false"/>
                  <w:smallCaps w:val="false"/>
                  <w:color w:val="0000FF"/>
                  <w:sz w:val="16"/>
                  <w:u w:val="single"/>
                </w:rPr>
                <w:t>67</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199">
              <w:r>
                <w:rPr>
                  <w:rStyle w:val="InternetLink"/>
                  <w:rFonts w:ascii="Times New Roman;serif" w:hAnsi="Times New Roman;serif"/>
                  <w:b w:val="false"/>
                  <w:i w:val="false"/>
                  <w:caps w:val="false"/>
                  <w:smallCaps w:val="false"/>
                  <w:color w:val="0000FF"/>
                  <w:sz w:val="16"/>
                  <w:u w:val="single"/>
                </w:rPr>
                <w:t>Item 5</w:t>
              </w:r>
            </w:hyperlink>
          </w:p>
        </w:tc>
        <w:tc>
          <w:tcPr>
            <w:tcW w:w="8714" w:type="dxa"/>
            <w:tcBorders/>
            <w:vAlign w:val="center"/>
          </w:tcPr>
          <w:p>
            <w:pPr>
              <w:pStyle w:val="TableContents"/>
              <w:bidi w:val="0"/>
              <w:spacing w:lineRule="atLeast" w:line="160" w:before="0" w:after="0"/>
              <w:jc w:val="left"/>
              <w:rPr/>
            </w:pPr>
            <w:hyperlink w:anchor="i5fdfea6782b54504b07970914d233dfc_199">
              <w:r>
                <w:rPr>
                  <w:rStyle w:val="InternetLink"/>
                  <w:rFonts w:ascii="Times New Roman;serif" w:hAnsi="Times New Roman;serif"/>
                  <w:b w:val="false"/>
                  <w:i w:val="false"/>
                  <w:caps w:val="false"/>
                  <w:smallCaps w:val="false"/>
                  <w:color w:val="0000FF"/>
                  <w:sz w:val="16"/>
                  <w:u w:val="single"/>
                </w:rPr>
                <w:t>Other Information</w:t>
              </w:r>
            </w:hyperlink>
          </w:p>
        </w:tc>
        <w:tc>
          <w:tcPr>
            <w:tcW w:w="776" w:type="dxa"/>
            <w:tcBorders/>
            <w:vAlign w:val="center"/>
          </w:tcPr>
          <w:p>
            <w:pPr>
              <w:pStyle w:val="TableContents"/>
              <w:bidi w:val="0"/>
              <w:spacing w:lineRule="atLeast" w:line="160" w:before="0" w:after="0"/>
              <w:jc w:val="left"/>
              <w:rPr/>
            </w:pPr>
            <w:hyperlink w:anchor="i5fdfea6782b54504b07970914d233dfc_199">
              <w:r>
                <w:rPr>
                  <w:rStyle w:val="InternetLink"/>
                  <w:rFonts w:ascii="Times New Roman;serif" w:hAnsi="Times New Roman;serif"/>
                  <w:b w:val="false"/>
                  <w:i w:val="false"/>
                  <w:caps w:val="false"/>
                  <w:smallCaps w:val="false"/>
                  <w:color w:val="0000FF"/>
                  <w:sz w:val="16"/>
                  <w:u w:val="single"/>
                </w:rPr>
                <w:t>67</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lineRule="atLeast" w:line="160" w:before="0" w:after="0"/>
              <w:jc w:val="left"/>
              <w:rPr/>
            </w:pPr>
            <w:hyperlink w:anchor="i5fdfea6782b54504b07970914d233dfc_202">
              <w:r>
                <w:rPr>
                  <w:rStyle w:val="InternetLink"/>
                  <w:rFonts w:ascii="Times New Roman;serif" w:hAnsi="Times New Roman;serif"/>
                  <w:b w:val="false"/>
                  <w:i w:val="false"/>
                  <w:caps w:val="false"/>
                  <w:smallCaps w:val="false"/>
                  <w:color w:val="0000FF"/>
                  <w:sz w:val="16"/>
                  <w:u w:val="single"/>
                </w:rPr>
                <w:t>Item 6</w:t>
              </w:r>
            </w:hyperlink>
          </w:p>
        </w:tc>
        <w:tc>
          <w:tcPr>
            <w:tcW w:w="8714" w:type="dxa"/>
            <w:tcBorders/>
            <w:vAlign w:val="center"/>
          </w:tcPr>
          <w:p>
            <w:pPr>
              <w:pStyle w:val="TableContents"/>
              <w:bidi w:val="0"/>
              <w:spacing w:lineRule="atLeast" w:line="160" w:before="0" w:after="0"/>
              <w:jc w:val="left"/>
              <w:rPr/>
            </w:pPr>
            <w:hyperlink w:anchor="i5fdfea6782b54504b07970914d233dfc_202">
              <w:r>
                <w:rPr>
                  <w:rStyle w:val="InternetLink"/>
                  <w:rFonts w:ascii="Times New Roman;serif" w:hAnsi="Times New Roman;serif"/>
                  <w:b w:val="false"/>
                  <w:i w:val="false"/>
                  <w:caps w:val="false"/>
                  <w:smallCaps w:val="false"/>
                  <w:color w:val="0000FF"/>
                  <w:sz w:val="16"/>
                  <w:u w:val="single"/>
                </w:rPr>
                <w:t>Exhibits and Financial Statement Schedules</w:t>
              </w:r>
            </w:hyperlink>
          </w:p>
        </w:tc>
        <w:tc>
          <w:tcPr>
            <w:tcW w:w="776" w:type="dxa"/>
            <w:tcBorders/>
            <w:vAlign w:val="center"/>
          </w:tcPr>
          <w:p>
            <w:pPr>
              <w:pStyle w:val="TableContents"/>
              <w:bidi w:val="0"/>
              <w:spacing w:lineRule="atLeast" w:line="160" w:before="0" w:after="0"/>
              <w:jc w:val="left"/>
              <w:rPr/>
            </w:pPr>
            <w:hyperlink w:anchor="i5fdfea6782b54504b07970914d233dfc_202">
              <w:r>
                <w:rPr>
                  <w:rStyle w:val="InternetLink"/>
                  <w:rFonts w:ascii="Times New Roman;serif" w:hAnsi="Times New Roman;serif"/>
                  <w:b w:val="false"/>
                  <w:i w:val="false"/>
                  <w:caps w:val="false"/>
                  <w:smallCaps w:val="false"/>
                  <w:color w:val="0000FF"/>
                  <w:sz w:val="16"/>
                  <w:u w:val="single"/>
                </w:rPr>
                <w:t>68</w:t>
              </w:r>
            </w:hyperlink>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CAUTIONARY NOTE REGARDING FORWARD-LOOKING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This Quarterly Report on Form 10-Q (the “Form 10-Q”) of EquipmentShare.com Inc (“EquipmentShare” or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Company”) and the documents incorporated by reference contain forward-looking statements within the meaning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of </w:t>
      </w:r>
      <w:r>
        <w:rPr>
          <w:rFonts w:ascii="Times New Roman;serif" w:hAnsi="Times New Roman;serif"/>
          <w:b w:val="false"/>
          <w:i w:val="false"/>
          <w:caps w:val="false"/>
          <w:smallCaps w:val="false"/>
          <w:strike w:val="false"/>
          <w:dstrike w:val="false"/>
          <w:sz w:val="20"/>
          <w:u w:val="none"/>
          <w:effect w:val="none"/>
          <w:shd w:fill="FFFFFF" w:val="clear"/>
        </w:rPr>
        <w:t xml:space="preserve">Section 27A of the Securities Act of 1933, as amended (the “Securities Act”), Section 21E of the Securities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Exchange Act of 1934, as amended (the “Exchange Act”), and </w:t>
      </w:r>
      <w:r>
        <w:rPr>
          <w:rFonts w:ascii="Times New Roman;serif" w:hAnsi="Times New Roman;serif"/>
          <w:b w:val="false"/>
          <w:i w:val="false"/>
          <w:caps w:val="false"/>
          <w:smallCaps w:val="false"/>
          <w:strike w:val="false"/>
          <w:dstrike w:val="false"/>
          <w:sz w:val="20"/>
          <w:u w:val="none"/>
          <w:effect w:val="none"/>
        </w:rPr>
        <w:t xml:space="preserve">the Private Securities Litigation Reform Act of 1995.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Forward-looking statements generally relate to future events or our expected future financial or operating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performance. </w:t>
      </w:r>
      <w:r>
        <w:rPr>
          <w:rFonts w:ascii="Times New Roman;serif" w:hAnsi="Times New Roman;serif"/>
          <w:b w:val="false"/>
          <w:i w:val="false"/>
          <w:caps w:val="false"/>
          <w:smallCaps w:val="false"/>
          <w:strike w:val="false"/>
          <w:dstrike w:val="false"/>
          <w:sz w:val="20"/>
          <w:u w:val="none"/>
          <w:effect w:val="none"/>
        </w:rPr>
        <w:t xml:space="preserve">Such statements can be identified by the use of forward-looking terminology such as “believe,”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expect,” “may,” “will,” “should,” “seek,” “on-track,” “plan,” “project,” “forecast,” “intend” or “anticipate,” or </w:t>
      </w:r>
      <w:r>
        <w:rPr>
          <w:rFonts w:ascii="Times New Roman;serif" w:hAnsi="Times New Roman;serif"/>
          <w:b w:val="false"/>
          <w:i w:val="false"/>
          <w:caps w:val="false"/>
          <w:smallCaps w:val="false"/>
          <w:strike w:val="false"/>
          <w:dstrike w:val="false"/>
          <w:sz w:val="20"/>
          <w:u w:val="none"/>
          <w:effect w:val="none"/>
          <w:shd w:fill="FFFFFF" w:val="clear"/>
        </w:rPr>
        <w:t xml:space="preserve">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negative of these words or other similar terms or expressions that concern our expectations, strategy, plans, or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intentions</w:t>
      </w:r>
      <w:r>
        <w:rPr>
          <w:rFonts w:ascii="Times New Roman;serif" w:hAnsi="Times New Roman;serif"/>
          <w:b w:val="false"/>
          <w:i w:val="false"/>
          <w:caps w:val="false"/>
          <w:smallCaps w:val="false"/>
          <w:strike w:val="false"/>
          <w:dstrike w:val="false"/>
          <w:sz w:val="20"/>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Forward-looking statements involve risks and uncertainties that could cause actual results to differ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materially from historical experience or our present expectations</w:t>
      </w:r>
      <w:r>
        <w:rPr>
          <w:rFonts w:ascii="Times New Roman;serif" w:hAnsi="Times New Roman;serif"/>
          <w:b w:val="false"/>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Important factors that could cause our actual results to differ materially from those indicated in the forward-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looking statements include, but are not limited to,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construction equipment rental industry is highly competitive, and competitive pressures could lead to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decrease in our market share or in the prices that we can charge;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dependence on relationships with certain suppliers to obtain equipment for our business;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innovative capital-light fleet growth model (the “OWN Program”) subjects us to a number of risks,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many of which are beyond our control;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suppliers of new equipment may appoint additional distributors, sell directly to our customers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unilaterally terminate our distribution agreements with them, any of which could have a material adverse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effect on our equipment sales due to a loss of such sales;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effectively manage our workforce and operations, which have grown substantially since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inception, and we expect will continue to do so in the future;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may not be able to facilitate our growth strategy by identifying and opening attractive new branch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locations, which could limit our revenues and profitability;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We may encounter substantial competition or other difficulties in our efforts to expand our operations;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A decline in construction and industrial activities, a downturn in the economy in general or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macroeconomic or environmental factors could lead to decreased demand for our equipment, depressed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rental rates and lower equipment sales prices;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Disruptions in our supply chain could result in adverse effects on our results of operations and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ability to collect on contracts with customers;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Conditions that adversely affect related parties with which we have entered into equipment sale and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arrangements;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reliance upon communications networks and centralized information technology systems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concentration of our systems which creates or increases risks for us, such as the risk of the misuse or theft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information, including personal information;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cloud-based platform (“T3”) is highly technical, and any prolonged undetected errors could adversely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affect our business;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reliance on third parties maintaining open marketplaces to distribute our T3 platform and to provide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software we use in certain of our products and offerings;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dependence of our business upon the interoperability of our T3 platform across devices, operating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systems, and third-party applications that we do not control;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Trends in oil and natural gas prices, which could adversely affect the level of exploration, development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production activity of certain of our customers and the demand for our services, and 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Risks related to heightened inflation, recessionary conditions, and financial and capital market disruptions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that may adversely impact business conditions, the availability of credit and access to capital;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Fluctuations in fuel costs or reduced supplies of fuel, which could harm our business;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exposure to a variety of claims and losses arising from our operations, which our insurance may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cover all or any portion of such claims.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foregoing factors should not be construed as exhaustive and should be read together with the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cautionary statements included in this Form 10-Q. If one or more events related to these or other risks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uncertainties materialize, or if our underlying assumptions prove to be incorrect, actual results may differ materially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what we anticipate. Many of the important factors that will determine these results are beyond our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control or predict. Accordingly, you should not place undue reliance on any such forward-looking 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statements that “we believe” and similar statements reflect our beliefs and opinions on the relevant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These statements are based on information available to us as of the date of this Form 10-Q. Although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believe the expectations reflected in the forward-looking statements are reasonable, we cannot guarantee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results, level of activity, performance or achievements. Our statements should not be read to indicate that we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conducted an exhaustive inquiry into, or review of, all relevant information. These statements are inherently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uncertain, and investors are cautioned not to unduly rely on these statements. Moreover, neither we nor any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person assumes responsibility for the accuracy and completeness of any of these forward-looking 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forward-looking statements made in this Form 10-Q relate only to events as of the date on which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are made. We are under no duty to update any of these forward-looking statements after the date of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Form 10-Q to conform our prior statements to actual results or revised expectations or the occurrence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unanticipated events, except as required by law.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You should note that we may announce material information to our investors using our investor relations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website (https://ir.equipmentshare.com/), filings with the Securities and Exchange Commission (the “SEC”), press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releases, public conference calls and webcasts. We use these channels, as well as social media, to communicate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investors. It is possible that the information that we post on these channels could be deemed to be material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We therefore encourage investors to visit these websites from time to time. The information contained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such websites and social media posts is not incorporated by reference into this filing. We have included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investor relations website address only as an inactive textual reference for convenience and do not intend it to be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active link to our website.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See the section titled “Risk Factors” in this Form 10-Q and in our Annual Report on Form 10-K for the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“2025 Form 10-K”) for a discussion of certain factors that could cause actual results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differ materially from those expressed in our forward-looking statements. Additional factors that could cause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results or performance to differ materially from those expressed in our forward-looking statements are detailed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filings we may make with SEC, copies of which are available at no charge. New risks and uncertainties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emerge from time to time, and it is not possible for us to predict all risks and uncertainties that could have an impact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the forward-looking statements contained in this Form 10-Q. We cannot assure you that the results, events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circumstances reflected in the forward-looking statements will be achieved or occur, and actual results, events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circumstances could differ materially from those described in the forward-looking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BALANCE SHEETS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 except par value)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47" w:type="dxa"/>
        <w:jc w:val="left"/>
        <w:tblInd w:w="0" w:type="dxa"/>
        <w:tblLayout w:type="fixed"/>
        <w:tblCellMar>
          <w:top w:w="28" w:type="dxa"/>
          <w:left w:w="28" w:type="dxa"/>
          <w:bottom w:w="28" w:type="dxa"/>
          <w:right w:w="28" w:type="dxa"/>
        </w:tblCellMar>
      </w:tblPr>
      <w:tblGrid>
        <w:gridCol w:w="7366"/>
        <w:gridCol w:w="1126"/>
        <w:gridCol w:w="109"/>
        <w:gridCol w:w="1546"/>
      </w:tblGrid>
      <w:tr>
        <w:trPr/>
        <w:tc>
          <w:tcPr>
            <w:tcW w:w="73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r>
      <w:tr>
        <w:trPr/>
        <w:tc>
          <w:tcPr>
            <w:tcW w:w="73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and 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$306</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Accounts receivable, net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748</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Inventories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401</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Prepaid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1,730</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Rental equipment,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2,834</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Property and other fixed assets,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504</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Capitalized software,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110</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Right of use assets, operating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676</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Investments in non-consolidated affiliates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Intangible assets,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$5,987</w:t>
            </w:r>
          </w:p>
        </w:tc>
      </w:tr>
      <w:tr>
        <w:trPr/>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 PERPETUAL PREFERRED STOCK, AND EQUITY</w:t>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Accrued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609</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Manufacturer flooring plans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Current portion of long-term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Current portion of operating lease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Current portion of finance lease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Current portion of financing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current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880</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Long-term debt, net of current portion, original issue discounts, and 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3,268</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Operating lease liabilities, net of current portion</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655</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Finance lease liabilities, net of current portion</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Financing obligations, net of current portion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Deferred tax liabilities,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5,099</w:t>
            </w:r>
          </w:p>
        </w:tc>
      </w:tr>
      <w:tr>
        <w:trPr/>
        <w:tc>
          <w:tcPr>
            <w:tcW w:w="736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Perpetual preferred stock, net - $0.00000125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par value, 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shares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issued and outstanding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December 31, 2025, respectively</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360</w:t>
            </w:r>
          </w:p>
        </w:tc>
      </w:tr>
      <w:tr>
        <w:trPr/>
        <w:tc>
          <w:tcPr>
            <w:tcW w:w="736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Common stock - $0.00000125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par value,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shares authorized, issued and outstanding as of June 30,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2026, 273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79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issued and outstanding at December 31, 2025</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36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Class A common stock - $0.00000125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par value, 3,500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215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shares issued and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outstanding at June 30, 2026,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issued and outstanding as of December 31, 2025</w:t>
            </w:r>
            <w:r>
              <w:rPr>
                <w:caps w:val="false"/>
                <w:smallCaps w:val="false"/>
                <w:sz w:val="24"/>
              </w:rPr>
              <w:t xml:space="preserve"> </w:t>
            </w:r>
          </w:p>
        </w:tc>
        <w:tc>
          <w:tcPr>
            <w:tcW w:w="11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36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Class B common stock - $0.00000125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par value, 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38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shares issued and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outstanding at June 30, 2026,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issued and outstanding as of December 31, 2025</w:t>
            </w:r>
            <w:r>
              <w:rPr>
                <w:caps w:val="false"/>
                <w:smallCaps w:val="false"/>
                <w:sz w:val="24"/>
              </w:rPr>
              <w:t xml:space="preserve"> </w:t>
            </w:r>
          </w:p>
        </w:tc>
        <w:tc>
          <w:tcPr>
            <w:tcW w:w="11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36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Convertible preferred stock, net - $0.00000125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par value,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shares authorized, issued and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outstanding as of June 30, 2026, 149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authorized, 142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shares issued and outstanding at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r>
      <w:tr>
        <w:trPr/>
        <w:tc>
          <w:tcPr>
            <w:tcW w:w="736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Treasury stock, at cost,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shares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December 31, 2025, respectively</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Additional paid-in-capital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Retained earnings (accumulated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Accumulated other comprehensive income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36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equity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528</w:t>
            </w:r>
          </w:p>
        </w:tc>
      </w:tr>
      <w:tr>
        <w:trPr/>
        <w:tc>
          <w:tcPr>
            <w:tcW w:w="736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liabilities, perpetual preferred stock, and equity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$5,987</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(1)Includes amounts due from related parties of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as of June 30, 2026 and December 31, 2025, respectively.</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(2)Includes amounts due to related parties of $8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as of June 30, 2026 and December 31, 2025, respectively.</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(3)Includes amounts due to related parties of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as of June 30, 2026 and December 31, 2025,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7</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CONDENSED CONSOLIDATED STATEMENTS OF OPERATIONS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 except per share data)</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18" w:type="dxa"/>
        <w:jc w:val="left"/>
        <w:tblInd w:w="0" w:type="dxa"/>
        <w:tblLayout w:type="fixed"/>
        <w:tblCellMar>
          <w:top w:w="28" w:type="dxa"/>
          <w:left w:w="28" w:type="dxa"/>
          <w:bottom w:w="28" w:type="dxa"/>
          <w:right w:w="28" w:type="dxa"/>
        </w:tblCellMar>
      </w:tblPr>
      <w:tblGrid>
        <w:gridCol w:w="5431"/>
        <w:gridCol w:w="1023"/>
        <w:gridCol w:w="218"/>
        <w:gridCol w:w="1023"/>
        <w:gridCol w:w="109"/>
        <w:gridCol w:w="942"/>
        <w:gridCol w:w="162"/>
        <w:gridCol w:w="1010"/>
      </w:tblGrid>
      <w:tr>
        <w:trPr/>
        <w:tc>
          <w:tcPr>
            <w:tcW w:w="543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543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5431" w:type="dxa"/>
            <w:tcBorders/>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5431"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43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REVENUES</w:t>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rental and related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$815</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$1,498</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$1,072</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Equipment sales</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483</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661</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624</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parts and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88</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Platform:</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1,449</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2,437</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w:t>
            </w:r>
          </w:p>
        </w:tc>
      </w:tr>
      <w:tr>
        <w:trPr/>
        <w:tc>
          <w:tcPr>
            <w:tcW w:w="5431"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 OF REVENUES</w:t>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before="0" w:after="283"/>
              <w:jc w:val="left"/>
              <w:rPr>
                <w:sz w:val="4"/>
                <w:szCs w:val="4"/>
              </w:rPr>
            </w:pPr>
            <w:r>
              <w:rPr>
                <w:sz w:val="4"/>
                <w:szCs w:val="4"/>
              </w:rPr>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before="0" w:after="283"/>
              <w:jc w:val="left"/>
              <w:rPr>
                <w:sz w:val="4"/>
                <w:szCs w:val="4"/>
              </w:rPr>
            </w:pPr>
            <w:r>
              <w:rPr>
                <w:sz w:val="4"/>
                <w:szCs w:val="4"/>
              </w:rPr>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Direct operating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498</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353</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OWN Program payouts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234</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451</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328</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394</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540</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524</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Platform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188</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148</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1,038</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1,740</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1,372</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Gross profit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411</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697</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492</w:t>
            </w:r>
          </w:p>
        </w:tc>
      </w:tr>
      <w:tr>
        <w:trPr/>
        <w:tc>
          <w:tcPr>
            <w:tcW w:w="5431"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before="0" w:after="283"/>
              <w:jc w:val="left"/>
              <w:rPr>
                <w:sz w:val="4"/>
                <w:szCs w:val="4"/>
              </w:rPr>
            </w:pPr>
            <w:r>
              <w:rPr>
                <w:sz w:val="4"/>
                <w:szCs w:val="4"/>
              </w:rPr>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before="0" w:after="283"/>
              <w:jc w:val="left"/>
              <w:rPr>
                <w:sz w:val="4"/>
                <w:szCs w:val="4"/>
              </w:rPr>
            </w:pPr>
            <w:r>
              <w:rPr>
                <w:sz w:val="4"/>
                <w:szCs w:val="4"/>
              </w:rPr>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i w:val="false"/>
                <w:caps w:val="false"/>
                <w:smallCaps w:val="false"/>
                <w:strike w:val="false"/>
                <w:dstrike w:val="false"/>
                <w:color w:val="000000"/>
                <w:sz w:val="16"/>
                <w:u w:val="none"/>
                <w:effect w:val="none"/>
              </w:rPr>
              <w:t>SELLING, GENERAL AND ADMINISTRATIVE EXPENSES</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317</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603</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439</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 xml:space="preserve">Operating income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w:t>
            </w:r>
          </w:p>
        </w:tc>
      </w:tr>
      <w:tr>
        <w:trPr/>
        <w:tc>
          <w:tcPr>
            <w:tcW w:w="5431"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INCOME (EXPENSE)</w:t>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before="0" w:after="283"/>
              <w:jc w:val="left"/>
              <w:rPr>
                <w:sz w:val="4"/>
                <w:szCs w:val="4"/>
              </w:rPr>
            </w:pPr>
            <w:r>
              <w:rPr>
                <w:sz w:val="4"/>
                <w:szCs w:val="4"/>
              </w:rPr>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before="0" w:after="283"/>
              <w:jc w:val="left"/>
              <w:rPr>
                <w:sz w:val="4"/>
                <w:szCs w:val="4"/>
              </w:rPr>
            </w:pPr>
            <w:r>
              <w:rPr>
                <w:sz w:val="4"/>
                <w:szCs w:val="4"/>
              </w:rPr>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(143)</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Other income, net</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other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i w:val="false"/>
                <w:caps w:val="false"/>
                <w:smallCaps w:val="false"/>
                <w:strike w:val="false"/>
                <w:dstrike w:val="false"/>
                <w:color w:val="000000"/>
                <w:sz w:val="16"/>
                <w:u w:val="none"/>
                <w:effect w:val="none"/>
              </w:rPr>
              <w:t>INCOME (LOSS) BEFORE INCOME TAXES</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23"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w:t>
            </w:r>
          </w:p>
        </w:tc>
      </w:tr>
      <w:tr>
        <w:trPr/>
        <w:tc>
          <w:tcPr>
            <w:tcW w:w="5431"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Provision for (benefit from)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r>
      <w:tr>
        <w:trPr/>
        <w:tc>
          <w:tcPr>
            <w:tcW w:w="5431"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i w:val="false"/>
                <w:caps w:val="false"/>
                <w:smallCaps w:val="false"/>
                <w:strike w:val="false"/>
                <w:dstrike w:val="false"/>
                <w:color w:val="000000"/>
                <w:sz w:val="16"/>
                <w:u w:val="none"/>
                <w:effect w:val="none"/>
              </w:rPr>
              <w:t>NET INCOME (LOSS)</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23"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r>
      <w:tr>
        <w:trPr/>
        <w:tc>
          <w:tcPr>
            <w:tcW w:w="5431"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Deemed dividends on perpetual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income (loss) attributable to common shareholders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w:t>
            </w:r>
          </w:p>
        </w:tc>
      </w:tr>
      <w:tr>
        <w:trPr/>
        <w:tc>
          <w:tcPr>
            <w:tcW w:w="5431"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Weighted average common shares outstanding: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Basic</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253</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Diluted (Class A and Common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222</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196</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Diluted (Class B)</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Earnings (loss) per common share: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Basic earnings (loss) per common share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$0.07</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$(0.11)</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$(0.60)</w:t>
            </w:r>
          </w:p>
        </w:tc>
      </w:tr>
      <w:tr>
        <w:trPr/>
        <w:tc>
          <w:tcPr>
            <w:tcW w:w="543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Diluted earnings (loss) per common share (Class A and Common Stock)</w:t>
            </w:r>
            <w:r>
              <w:rPr>
                <w:caps w:val="false"/>
                <w:smallCaps w:val="false"/>
              </w:rPr>
              <w:t xml:space="preserve"> </w:t>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$0.06</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$(0.11)</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$(0.60)</w:t>
            </w:r>
          </w:p>
        </w:tc>
      </w:tr>
      <w:tr>
        <w:trPr/>
        <w:tc>
          <w:tcPr>
            <w:tcW w:w="543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Diluted earnings (loss) per common share (Class B)</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$0.07</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$(0.11)</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(1)Includes amounts earned from related parties of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 and 2025, respectively, and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$71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 and 2025, respectively.</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(2)Includes amounts incurred from related parties of $0.5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 and 2025, respectively, and $0.8</w:t>
      </w:r>
      <w:r>
        <w:rPr>
          <w:caps w:val="false"/>
          <w:smallCaps w:val="false"/>
          <w:strike w:val="false"/>
          <w:dstrike w:val="false"/>
          <w:sz w:val="24"/>
          <w:u w:val="none"/>
          <w:effect w:val="none"/>
        </w:rPr>
        <w:t xml:space="preserve">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and $29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 and 2025, respectively.</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(3)Includes amounts earned from related parties of $4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 and 2025, respectively, and $7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$3</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for the six months ended June 30, 2026 and 2025,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COMPREHENSIVE INCOME (LOSS)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99" w:type="dxa"/>
        <w:jc w:val="left"/>
        <w:tblInd w:w="0" w:type="dxa"/>
        <w:tblLayout w:type="fixed"/>
        <w:tblCellMar>
          <w:top w:w="28" w:type="dxa"/>
          <w:left w:w="28" w:type="dxa"/>
          <w:bottom w:w="28" w:type="dxa"/>
          <w:right w:w="28" w:type="dxa"/>
        </w:tblCellMar>
      </w:tblPr>
      <w:tblGrid>
        <w:gridCol w:w="4411"/>
        <w:gridCol w:w="1014"/>
        <w:gridCol w:w="237"/>
        <w:gridCol w:w="1014"/>
        <w:gridCol w:w="109"/>
        <w:gridCol w:w="915"/>
        <w:gridCol w:w="201"/>
        <w:gridCol w:w="998"/>
      </w:tblGrid>
      <w:tr>
        <w:trPr/>
        <w:tc>
          <w:tcPr>
            <w:tcW w:w="441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226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441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2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441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income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1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r>
      <w:tr>
        <w:trPr/>
        <w:tc>
          <w:tcPr>
            <w:tcW w:w="44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 (loss):</w:t>
            </w:r>
          </w:p>
        </w:tc>
        <w:tc>
          <w:tcPr>
            <w:tcW w:w="1014"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sz w:val="4"/>
                <w:szCs w:val="4"/>
              </w:rPr>
            </w:pPr>
            <w:r>
              <w:rPr>
                <w:sz w:val="4"/>
                <w:szCs w:val="4"/>
              </w:rPr>
            </w:r>
          </w:p>
        </w:tc>
        <w:tc>
          <w:tcPr>
            <w:tcW w:w="1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Reclassification of net gain (loss) from derivative </w:t>
            </w:r>
          </w:p>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instruments,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1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411"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Change in fair value of derivative instruments,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1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37" w:type="dxa"/>
            <w:tcBorders/>
            <w:shd w:fill="FFFFFF" w:val="clear"/>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r>
      <w:tr>
        <w:trPr/>
        <w:tc>
          <w:tcPr>
            <w:tcW w:w="4411" w:type="dxa"/>
            <w:tcBorders/>
            <w:shd w:fill="CCEEFF" w:val="clear"/>
            <w:vAlign w:val="center"/>
          </w:tcPr>
          <w:p>
            <w:pPr>
              <w:pStyle w:val="TableContents"/>
              <w:bidi w:val="0"/>
              <w:spacing w:lineRule="atLeast" w:line="160" w:before="0" w:after="0"/>
              <w:jc w:val="left"/>
              <w:rPr/>
            </w:pPr>
            <w:r>
              <w:rPr>
                <w:rFonts w:ascii="Times New Roman;serif" w:hAnsi="Times New Roman;serif"/>
                <w:b/>
                <w:i w:val="false"/>
                <w:caps w:val="false"/>
                <w:smallCaps w:val="false"/>
                <w:strike w:val="false"/>
                <w:dstrike w:val="false"/>
                <w:color w:val="000000"/>
                <w:sz w:val="16"/>
                <w:u w:val="none"/>
                <w:effect w:val="none"/>
              </w:rPr>
              <w:t>COMPREHENSIVE INCOME (LOSS)</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9</w:t>
      </w:r>
    </w:p>
    <w:p>
      <w:pPr>
        <w:pStyle w:val="TextBody"/>
        <w:bidi w:val="0"/>
        <w:spacing w:lineRule="atLeast" w:line="200" w:before="0" w:after="0"/>
        <w:jc w:val="left"/>
        <w:rPr/>
      </w:pPr>
      <w:hyperlink w:anchor="i5fdfea6782b54504b07970914d233dfc_7">
        <w:r>
          <w:rPr>
            <w:rStyle w:val="InternetLink"/>
          </w:rPr>
          <w:t xml:space="preserve">Table of </w:t>
        </w:r>
      </w:hyperlink>
      <w:hyperlink w:anchor="i5fdfea6782b54504b07970914d233dfc_7">
        <w:r>
          <w:rPr>
            <w:rStyle w:val="InternetLink"/>
          </w:rPr>
          <w:t>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CONDENSED CONSOLIDATED STATEMENTS OF PERPETUAL PREFERRED STOCK AND EQUITY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(In millions)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707" w:type="dxa"/>
        <w:jc w:val="left"/>
        <w:tblInd w:w="0" w:type="dxa"/>
        <w:tblLayout w:type="fixed"/>
        <w:tblCellMar>
          <w:top w:w="28" w:type="dxa"/>
          <w:left w:w="28" w:type="dxa"/>
          <w:bottom w:w="28" w:type="dxa"/>
          <w:right w:w="28" w:type="dxa"/>
        </w:tblCellMar>
      </w:tblPr>
      <w:tblGrid>
        <w:gridCol w:w="1186"/>
        <w:gridCol w:w="586"/>
        <w:gridCol w:w="109"/>
        <w:gridCol w:w="691"/>
        <w:gridCol w:w="109"/>
        <w:gridCol w:w="586"/>
        <w:gridCol w:w="109"/>
        <w:gridCol w:w="691"/>
        <w:gridCol w:w="109"/>
        <w:gridCol w:w="586"/>
        <w:gridCol w:w="109"/>
        <w:gridCol w:w="691"/>
        <w:gridCol w:w="109"/>
        <w:gridCol w:w="586"/>
        <w:gridCol w:w="109"/>
        <w:gridCol w:w="691"/>
        <w:gridCol w:w="109"/>
        <w:gridCol w:w="586"/>
        <w:gridCol w:w="109"/>
        <w:gridCol w:w="691"/>
        <w:gridCol w:w="109"/>
        <w:gridCol w:w="766"/>
        <w:gridCol w:w="109"/>
        <w:gridCol w:w="871"/>
        <w:gridCol w:w="109"/>
        <w:gridCol w:w="1111"/>
        <w:gridCol w:w="109"/>
        <w:gridCol w:w="1216"/>
        <w:gridCol w:w="109"/>
        <w:gridCol w:w="646"/>
      </w:tblGrid>
      <w:tr>
        <w:trPr/>
        <w:tc>
          <w:tcPr>
            <w:tcW w:w="11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Perpetual</w:t>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Convertible</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118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April 1, 2026</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right w:val="single" w:sz="8" w:space="0" w:color="000000"/>
            </w:tcBorders>
            <w:shd w:fill="CCEEFF" w:val="clear"/>
            <w:tcMar>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$371</w:t>
            </w:r>
          </w:p>
        </w:tc>
        <w:tc>
          <w:tcPr>
            <w:tcW w:w="109" w:type="dxa"/>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$1,201</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income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Reclassification of net gain from derivative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instruments, net of tax</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Accretion of perpetual preferred stock to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redemption value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Dividends on perpetual preferred stock</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Exercises of stock options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2026</w:t>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$370</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$1,212</w:t>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Perpetual</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Convertible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April 1, 2025</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right w:val="single" w:sz="8" w:space="0" w:color="000000"/>
            </w:tcBorders>
            <w:shd w:fill="CCEEFF" w:val="clear"/>
            <w:tcMar>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$335</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$490</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income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Change in fair value of derivative instruments,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of tax</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Accretion of perpetual preferred stock to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redemption value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Dividends on perpetual preferred stock</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Exercises of stock options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18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2025</w:t>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$338</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$467</w:t>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w:t>
      </w:r>
    </w:p>
    <w:p>
      <w:pPr>
        <w:pStyle w:val="TextBody"/>
        <w:bidi w:val="0"/>
        <w:spacing w:lineRule="atLeast" w:line="200" w:before="0" w:after="0"/>
        <w:jc w:val="left"/>
        <w:rPr/>
      </w:pPr>
      <w:hyperlink w:anchor="i5fdfea6782b54504b07970914d233dfc_7">
        <w:r>
          <w:rPr>
            <w:rStyle w:val="InternetLink"/>
          </w:rPr>
          <w:t xml:space="preserve">Table of </w:t>
        </w:r>
      </w:hyperlink>
      <w:hyperlink w:anchor="i5fdfea6782b54504b07970914d233dfc_7">
        <w:r>
          <w:rPr>
            <w:rStyle w:val="InternetLink"/>
          </w:rPr>
          <w:t>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CONDENSED CONSOLIDATED STATEMENTS OF PERPETUAL PREFERRED STOCK AND EQUITY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(In millions)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tbl>
      <w:tblPr>
        <w:tblW w:w="13602" w:type="dxa"/>
        <w:jc w:val="left"/>
        <w:tblInd w:w="0" w:type="dxa"/>
        <w:tblLayout w:type="fixed"/>
        <w:tblCellMar>
          <w:top w:w="28" w:type="dxa"/>
          <w:left w:w="28" w:type="dxa"/>
          <w:bottom w:w="28" w:type="dxa"/>
          <w:right w:w="28" w:type="dxa"/>
        </w:tblCellMar>
      </w:tblPr>
      <w:tblGrid>
        <w:gridCol w:w="1081"/>
        <w:gridCol w:w="586"/>
        <w:gridCol w:w="109"/>
        <w:gridCol w:w="691"/>
        <w:gridCol w:w="109"/>
        <w:gridCol w:w="586"/>
        <w:gridCol w:w="109"/>
        <w:gridCol w:w="691"/>
        <w:gridCol w:w="109"/>
        <w:gridCol w:w="586"/>
        <w:gridCol w:w="109"/>
        <w:gridCol w:w="691"/>
        <w:gridCol w:w="109"/>
        <w:gridCol w:w="586"/>
        <w:gridCol w:w="109"/>
        <w:gridCol w:w="691"/>
        <w:gridCol w:w="109"/>
        <w:gridCol w:w="586"/>
        <w:gridCol w:w="109"/>
        <w:gridCol w:w="691"/>
        <w:gridCol w:w="109"/>
        <w:gridCol w:w="766"/>
        <w:gridCol w:w="109"/>
        <w:gridCol w:w="871"/>
        <w:gridCol w:w="109"/>
        <w:gridCol w:w="1111"/>
        <w:gridCol w:w="109"/>
        <w:gridCol w:w="1216"/>
        <w:gridCol w:w="109"/>
        <w:gridCol w:w="646"/>
      </w:tblGrid>
      <w:tr>
        <w:trPr/>
        <w:tc>
          <w:tcPr>
            <w:tcW w:w="10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Perpetual</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Convertible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January 1, 2026</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right w:val="single" w:sz="8" w:space="0" w:color="000000"/>
            </w:tcBorders>
            <w:shd w:fill="CCEEFF" w:val="clear"/>
            <w:tcMar>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$360</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$528</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Conversion of common stock to Class A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in connection with IPO</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Conversion of convertible preferred stock to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class A common stock in connection with IPO</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Conversion of class A common stock to class B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in connection with IPO</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Issuance of class A common stock in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connection with IPO, net of underwriting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discounts and offering costs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692</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Accretion of perpetual preferred stock to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redemption value</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Dividends on perpetual preferred stock</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Exercises of stock options</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w:t>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2026</w:t>
            </w:r>
          </w:p>
        </w:tc>
        <w:tc>
          <w:tcPr>
            <w:tcW w:w="5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CCEEFF" w:val="clear"/>
            <w:tcMar>
              <w:lef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$370</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$1,212</w:t>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Perpetual</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Convertible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Preferred Stock,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January 1, 2025</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right w:val="single" w:sz="8" w:space="0" w:color="000000"/>
            </w:tcBorders>
            <w:shd w:fill="CCEEFF" w:val="clear"/>
            <w:tcMar>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$324</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$549</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Change in fair value of derivative instruments,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of tax</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Accretion of perpetual preferred stock to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redemption value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Dividends on perpetual preferred stock</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CCEE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Exercises of stock options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right w:val="single" w:sz="8" w:space="0" w:color="000000"/>
            </w:tcBorders>
            <w:shd w:fill="FFFFFF" w:val="clear"/>
            <w:tcMar>
              <w:top w:w="0" w:type="dxa"/>
              <w:left w:w="0" w:type="dxa"/>
              <w:bottom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0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r>
      <w:tr>
        <w:trPr/>
        <w:tc>
          <w:tcPr>
            <w:tcW w:w="108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2025</w:t>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$338</w:t>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11</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CASH FLOWS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31" w:type="dxa"/>
        <w:jc w:val="left"/>
        <w:tblInd w:w="0" w:type="dxa"/>
        <w:tblLayout w:type="fixed"/>
        <w:tblCellMar>
          <w:top w:w="28" w:type="dxa"/>
          <w:left w:w="28" w:type="dxa"/>
          <w:bottom w:w="28" w:type="dxa"/>
          <w:right w:w="28" w:type="dxa"/>
        </w:tblCellMar>
      </w:tblPr>
      <w:tblGrid>
        <w:gridCol w:w="7516"/>
        <w:gridCol w:w="1042"/>
        <w:gridCol w:w="180"/>
        <w:gridCol w:w="893"/>
      </w:tblGrid>
      <w:tr>
        <w:trPr/>
        <w:tc>
          <w:tcPr>
            <w:tcW w:w="751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751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7516"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7516" w:type="dxa"/>
            <w:tcBorders/>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51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OPERATING ACTIVITIES</w:t>
            </w:r>
          </w:p>
        </w:tc>
        <w:tc>
          <w:tcPr>
            <w:tcW w:w="10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r>
      <w:tr>
        <w:trPr/>
        <w:tc>
          <w:tcPr>
            <w:tcW w:w="75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 to reconcile net loss to net cash used in operating activities:</w:t>
            </w:r>
          </w:p>
        </w:tc>
        <w:tc>
          <w:tcPr>
            <w:tcW w:w="1042" w:type="dxa"/>
            <w:tcBorders/>
            <w:shd w:fill="CCEEFF" w:val="cle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Depreciation and amortization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216</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Amortization of debt issuance costs and original issue discounts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Allowance for credit losses and doubtful accounts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Change in operating lease 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Deferred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r>
      <w:tr>
        <w:trPr/>
        <w:tc>
          <w:tcPr>
            <w:tcW w:w="75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 in operating assets and liabilities:</w:t>
            </w:r>
          </w:p>
        </w:tc>
        <w:tc>
          <w:tcPr>
            <w:tcW w:w="1042" w:type="dxa"/>
            <w:tcBorders/>
            <w:shd w:fill="CCEEFF" w:val="cle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Accounts receivable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(222)</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Inventories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Prepaid costs and other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Accounts payable and manufacturer flooring plans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Accrued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Operating lease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cash used in operating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r>
      <w:tr>
        <w:trPr/>
        <w:tc>
          <w:tcPr>
            <w:tcW w:w="751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INVESTING ACTIVITIES</w:t>
            </w:r>
          </w:p>
        </w:tc>
        <w:tc>
          <w:tcPr>
            <w:tcW w:w="10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Purchases of rental equipment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(1,017)</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(799)</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Proceeds from sale of rental equipment</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483</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500</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 of and deposits on property and other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(163)</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Proceeds from sale of property and other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Investments in internally developed software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 of investments in equity and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Proceeds from sale of investments in equity and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Acquisition of businesses, net of cash acquired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cash used in investing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(730)</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(450)</w:t>
            </w:r>
          </w:p>
        </w:tc>
      </w:tr>
      <w:tr>
        <w:trPr/>
        <w:tc>
          <w:tcPr>
            <w:tcW w:w="751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FINANCING ACTIVITIES</w:t>
            </w:r>
          </w:p>
        </w:tc>
        <w:tc>
          <w:tcPr>
            <w:tcW w:w="104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Payments on long-term debt and finance leases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(984)</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(318)</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Proceeds from long-term debt,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1,332</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900</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Payments on deferred financing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Payments on financing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Proceeds on financing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Dividends paid on perpetual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r>
      <w:tr>
        <w:trPr/>
        <w:tc>
          <w:tcPr>
            <w:tcW w:w="7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Proceeds from issuance of class A common stock upon initial public offering, net of underwriting </w:t>
            </w:r>
          </w:p>
          <w:p>
            <w:pPr>
              <w:pStyle w:val="TableContents"/>
              <w:bidi w:val="0"/>
              <w:spacing w:lineRule="atLeast" w:line="160" w:before="0" w:after="0"/>
              <w:jc w:val="left"/>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6"/>
                <w:u w:val="none"/>
                <w:effect w:val="none"/>
              </w:rPr>
              <w:t>discount and commissions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706</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Payments of equity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cash provided by financing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1,009</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531</w:t>
            </w:r>
          </w:p>
        </w:tc>
      </w:tr>
      <w:tr>
        <w:trPr/>
        <w:tc>
          <w:tcPr>
            <w:tcW w:w="7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increase (decrease) in cash and cash equivalents</w:t>
            </w:r>
          </w:p>
        </w:tc>
        <w:tc>
          <w:tcPr>
            <w:tcW w:w="104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and cash equivalents,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306</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407</w:t>
            </w:r>
          </w:p>
        </w:tc>
      </w:tr>
      <w:tr>
        <w:trPr/>
        <w:tc>
          <w:tcPr>
            <w:tcW w:w="7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end of period</w:t>
            </w:r>
          </w:p>
        </w:tc>
        <w:tc>
          <w:tcPr>
            <w:tcW w:w="104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w:t>
            </w:r>
          </w:p>
        </w:tc>
      </w:tr>
      <w:tr>
        <w:trPr/>
        <w:tc>
          <w:tcPr>
            <w:tcW w:w="7516" w:type="dxa"/>
            <w:tcBorders/>
            <w:shd w:fill="CCEEFF" w:val="clear"/>
            <w:vAlign w:val="center"/>
          </w:tcPr>
          <w:p>
            <w:pPr>
              <w:pStyle w:val="TableContents"/>
              <w:bidi w:val="0"/>
              <w:spacing w:before="0" w:after="283"/>
              <w:jc w:val="left"/>
              <w:rPr>
                <w:sz w:val="4"/>
                <w:szCs w:val="4"/>
              </w:rPr>
            </w:pPr>
            <w:r>
              <w:rPr>
                <w:sz w:val="4"/>
                <w:szCs w:val="4"/>
              </w:rPr>
            </w:r>
          </w:p>
        </w:tc>
        <w:tc>
          <w:tcPr>
            <w:tcW w:w="1042"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SUPPLEMENTAL CASH FLOW DISCLOSURES:</w:t>
            </w:r>
          </w:p>
        </w:tc>
        <w:tc>
          <w:tcPr>
            <w:tcW w:w="1042" w:type="dxa"/>
            <w:tcBorders/>
            <w:shd w:fill="FFFFFF" w:val="clear"/>
            <w:vAlign w:val="center"/>
          </w:tcPr>
          <w:p>
            <w:pPr>
              <w:pStyle w:val="TableContents"/>
              <w:bidi w:val="0"/>
              <w:spacing w:before="0" w:after="283"/>
              <w:jc w:val="left"/>
              <w:rPr>
                <w:sz w:val="4"/>
                <w:szCs w:val="4"/>
              </w:rPr>
            </w:pPr>
            <w:r>
              <w:rPr>
                <w:sz w:val="4"/>
                <w:szCs w:val="4"/>
              </w:rPr>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before="0" w:after="283"/>
              <w:jc w:val="left"/>
              <w:rPr>
                <w:sz w:val="4"/>
                <w:szCs w:val="4"/>
              </w:rPr>
            </w:pPr>
            <w:r>
              <w:rPr>
                <w:sz w:val="4"/>
                <w:szCs w:val="4"/>
              </w:rPr>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paid for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paid for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751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NON-CASH ACTIVITIES:</w:t>
            </w:r>
          </w:p>
        </w:tc>
        <w:tc>
          <w:tcPr>
            <w:tcW w:w="1042" w:type="dxa"/>
            <w:tcBorders/>
            <w:shd w:fill="CCEEFF" w:val="cle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 of rental equipment remaining in accounts payable and manufacturer flooring plans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 of property and other fixed assets remaining in 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w:t>
            </w:r>
          </w:p>
        </w:tc>
      </w:tr>
      <w:tr>
        <w:trPr/>
        <w:tc>
          <w:tcPr>
            <w:tcW w:w="751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Accretion of perpetual preferred stock to redemption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r>
      <w:tr>
        <w:trPr/>
        <w:tc>
          <w:tcPr>
            <w:tcW w:w="751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Stock-based compensation for capitalized software development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4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(1)Includes amounts from related parties of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 and 2025, respectively.</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(2)Includes amounts from related parties of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$55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 and 2025,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NOTES TO CONDENSED CONSOLIDATED FINANCIAL STATEMENTS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1.BUSINESS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EquipmentShare.com Inc and subsidiaries (“EquipmentShare” or the “Company”) was organized in 2014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commenced operations on January 1, 2015. Effective June 30, 2025, EquipmentShare.com Inc changed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jurisdiction of incorporation from the state of Delaware to the state of Texas.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is a vertically integrated platform that combines proprietary technology, a connected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fleet, and a nationwide footprint to serve the construction industry. More than a rental company, EquipmentShare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delivers jobsite visibility and control through its cloud-based T3 platform, which integrates embedded telematics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hardware, software applications, and real-time data to support both customers and internal operations. The T3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platform is original equipment manufacturer (“OEM”) agnostic and gives the Company and its rental customers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ability to track mixed fleets, maximize utilization, reduce unplanned downtime, streamline maintenance,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 jobsite security and operator accountability.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utilizes its proprietary T3 platform in its equipment rental and service operations to manage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that is owned by the Company, as well as construction equipment that is leased from third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party participants in the Company’s “OWN Program.” Under the OWN Program, participants may purchase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new or used (typically less than four years old) equipment which is fully enabled with our T3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platform. Concurrently, the participant and the Company enter into a lease agreement whereby this qualified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is placed on the Company’s T3 platform, to be rented to third party users. Rental revenue generated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enrolled under the OWN Program is divided and shared between the Company and the owner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and for the duration of the arrangement the Company manages the owner’s equipment utilizing the T3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platform. At the end of the sharing period under the OWN Program, the Company may assist the owner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remarketing services if the equipment is to be sold in the market as used construction equipment. The Company also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offers several add-on services to the owner of the equipment.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equipment rentals, the Company also offers complementary products and services, such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parts, supplies, services, and select jobsite support offerings. These products and services are integrated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the T3 platform to support broader jobsite needs as part of the Company’s equipment rental and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The Company offers new and used equipment for sale to customers. Separately, the Company offers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telematics software as a service (“SaaS”) subscriptions, supported by embedded telematics hardware to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who use the digital tools to monitor fleet performance, manage maintenance, and oversee jobsite activity through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single platform. The Company develops and enhances these tools and services with input from customers.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 also retails building materials and hardware supplies to customers.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Company had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full-service branches,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dealership sites, and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building materials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hardware retail stores located across 45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state</w:t>
      </w:r>
      <w:r>
        <w:rPr>
          <w:rFonts w:ascii="Times New Roman;serif" w:hAnsi="Times New Roman;serif"/>
          <w:b w:val="false"/>
          <w:i w:val="false"/>
          <w:caps w:val="false"/>
          <w:smallCaps w:val="false"/>
          <w:strike w:val="false"/>
          <w:dstrike w:val="false"/>
          <w:sz w:val="20"/>
          <w:u w:val="none"/>
          <w:effect w:val="none"/>
          <w:shd w:fill="FFFFFF" w:val="clear"/>
        </w:rPr>
        <w:t xml:space="preserve">s in the U.S. The Company’s full-service, technology-enabled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model supports multiple customer touchpoints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allows it to operate a high-quality, diversified rental fleet.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branch network also serves as an effective distribution channel for fleet disposition and supports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including new and used equipment sales, parts, supplies and services. The Company is an authorized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dealer for JLG, Takeuchi, Skyjack, Genie, and other major brands of construction and aerial equipment, and offers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rentals, parts, and services.</w:t>
      </w:r>
    </w:p>
    <w:p>
      <w:pPr>
        <w:pStyle w:val="TextBody"/>
        <w:bidi w:val="0"/>
        <w:spacing w:lineRule="atLeast" w:line="200"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Initial Public Offering</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t>
      </w:r>
      <w:r>
        <w:rPr>
          <w:rFonts w:ascii="Times New Roman;serif" w:hAnsi="Times New Roman;serif"/>
          <w:b w:val="false"/>
          <w:i w:val="false"/>
          <w:caps w:val="false"/>
          <w:smallCaps w:val="false"/>
          <w:strike w:val="false"/>
          <w:dstrike w:val="false"/>
          <w:sz w:val="20"/>
          <w:u w:val="none"/>
          <w:effect w:val="none"/>
          <w:shd w:fill="FFFFFF" w:val="clear"/>
        </w:rPr>
        <w:t>n January 26, 2026, the Company completed its initial public offering (“IPO”) of 30.5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shares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Company’s Class A common stock at a price of $24.50, resulting in gross proceeds of $747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net proceeds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of $706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after deducting underwriting discounts and commissions. In connection with the IPO,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capitalized </w:t>
      </w:r>
      <w:r>
        <w:rPr>
          <w:rFonts w:ascii="Times New Roman;serif" w:hAnsi="Times New Roman;serif"/>
          <w:b w:val="false"/>
          <w:i w:val="false"/>
          <w:caps w:val="false"/>
          <w:smallCaps w:val="false"/>
          <w:strike w:val="false"/>
          <w:dstrike w:val="false"/>
          <w:sz w:val="20"/>
          <w:u w:val="none"/>
          <w:effect w:val="none"/>
        </w:rPr>
        <w:t>$14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equity issuance costs. </w:t>
      </w:r>
      <w:r>
        <w:rPr>
          <w:rFonts w:ascii="Times New Roman;serif" w:hAnsi="Times New Roman;serif"/>
          <w:b w:val="false"/>
          <w:i w:val="false"/>
          <w:caps w:val="false"/>
          <w:smallCaps w:val="false"/>
          <w:strike w:val="false"/>
          <w:dstrike w:val="false"/>
          <w:sz w:val="20"/>
          <w:u w:val="none"/>
          <w:effect w:val="none"/>
        </w:rPr>
        <w:t xml:space="preserve">The Company intends to use the net proceeds of the offering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general corporate purposes.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Immediately prior to the completion of the IPO, the Company’s certificate of formation, bylaws, and investors’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rights agreement were amended and restated, resulting in, among other things, all shares of the Company’s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including shares of common stock issued upon the automatic conversion of the Company’s preferred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than shares of perpetual preferred stock which remain outstanding) being reclassified into shares of Class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and immediately thereafter all shares of Class A common stock then held by the Company’s Chief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13</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Executive Officer or President (the “Founders”) were exchanged into an equivalent number of shares of Class B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Additionally, shares of Class A common stock will be issuable upon exercise or vesting of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options and restricted stock units (“RSUs”), as applicable, except that Class B shares will be issuable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upon exercise or vesting of options and RSUs held by the Founders and upon vesting of performance stock units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(“PSUs”) granted to the Founders (see </w:t>
      </w:r>
      <w:r>
        <w:rPr>
          <w:rFonts w:ascii="Times New Roman;serif" w:hAnsi="Times New Roman;serif"/>
          <w:b w:val="false"/>
          <w:i w:val="false"/>
          <w:caps w:val="false"/>
          <w:smallCaps w:val="false"/>
          <w:sz w:val="20"/>
          <w:u w:val="single"/>
        </w:rPr>
        <w:t>IPO Founders Awards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below).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Concurrent with the IPO, all outstanding shares of the Company’s convertible preferred stock were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automatically converted into 142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Class A common stock. Following the completion of the IPO,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had 3,500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of authorized shares of Class A common stock and approximately 215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shares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Class A common stock issued and outstanding, along with 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of authorized shares of Class B common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 and approximately 38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shares of Class B common stock issued and outstanding.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Following the completion of the IPO, the Class B common stock (which is held by the Founders who have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agreed to vote together as a group) represented more than 80%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total voting power of the outstanding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and, as a result, the Company is considered to be a “controlled company” within the meaning of Nasdaq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corporate governance standards.</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2.SUMMARY OF SIGNIFICANT ACCOUNTING POLICIES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Basis of Presentation: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accompanying unaudited condensed consolidated financial statements have been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prepared in accordance with generally accepted accounting principles (“U.S. GAAP”) for interim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Accordingly, certain information and footnote disclosures required by U.S. GAAP for complete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statements have been condensed or omitted in accordance with Securities and Exchange Commission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 rules and regulations. In the opinion of the Company, the accompanying unaudited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statements contain all adjustments, consisting of only normal recurring adjustments, necessary for a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 of its financial position as of June 30, 2026, and its results of operations, changes in perpetual preferred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 and equity, and cash flows, 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Interim results of operations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necessarily indicative of the results of the full year.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unaudited condensed consolidated financial statements should be read in conjunction with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Annual Report on Form 10-K for the year ended December 31, 2025. The Company’s significant accounting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policies are described in Note 2. Summary of Significant Accounting Policies in the 2025 Form 10-K. There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been no significant changes to those accounting policies in the Company’s preparation of the accompanying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condensed consolidated financial statements as of and for the three and six months ended June 30, 2026.</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Use of estimates: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Management used estimates and assumptions in preparing these financial statements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accordance with U.S. GAAP. Those estimates and assumptions affect the reported amounts of assets and liabilities,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disclosures of contingent assets and liabilities, and the reported revenues and expenses. As future events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their effects cannot be determined with precision, actual results could differ from the estimates that were used.</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Recently Adopted Accounting Pronouncements</w:t>
      </w:r>
      <w:r>
        <w:rPr>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Measurement of Credit Losses for Accounts Receivable and Contract Assets: In July 2025, the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Standards Board (“FASB”) issued Accounting Standards Update (“ASU”) 2025-05, which provides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optional guidance relating to the estimation of expected credit losses on current accounts receivable and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 assets. This guidance permits entities to apply a practical expedient when estimating credit losses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assumes that current conditions as of the balance sheet date do not change for the remaining life of the asset.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Effective January 1, 2026, the Company began applying the practical expedient when estimating credit losses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prospective basis. The adoption of this guidance did not have a material impact on the Company’s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statements and related disclosures.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Accounting Pronouncements Issued, Not Yet Adopted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Disaggregation of Income Statement Expenses: In November 2024, the FASB issued ASU 2024-03, which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intended to improve the disclosures about a public entity's expenses and address requests from investors for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detailed information about the types of expenses in commonly presented expense captions. The guidance is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14</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fiscal years beginning after December 15, 2026, and interim periods within fiscal years beginning 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15, 2027. Early adoption is permitted for annual financial statements that have not yet been issued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made available for issuance. ASU 2024-03 should be applied on a prospective basis, but retrospective application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permitted. The Company is currently evaluating the potential impact of adopting this new guidance on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 and related disclosures.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Improvements to the Accounting for Internal-Use Software: In September 2025, the FASB issued ASU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2025-06, which amends the guidance in FASB Accounting Standards Codification (“ASC”) 350-40, </w:t>
      </w:r>
      <w:r>
        <w:rPr>
          <w:rFonts w:ascii="Times New Roman;serif" w:hAnsi="Times New Roman;serif"/>
          <w:b w:val="false"/>
          <w:i/>
          <w:strike w:val="false"/>
          <w:dstrike w:val="false"/>
          <w:sz w:val="20"/>
          <w:u w:val="none"/>
          <w:effect w:val="none"/>
        </w:rPr>
        <w:t xml:space="preserve">Intangibles -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Goodwill and Other - Internal-Use Software</w:t>
      </w:r>
      <w:r>
        <w:rPr>
          <w:rFonts w:ascii="Times New Roman;serif" w:hAnsi="Times New Roman;serif"/>
          <w:b w:val="false"/>
          <w:i w:val="false"/>
          <w:caps w:val="false"/>
          <w:smallCaps w:val="false"/>
          <w:strike w:val="false"/>
          <w:dstrike w:val="false"/>
          <w:sz w:val="20"/>
          <w:u w:val="none"/>
          <w:effect w:val="none"/>
        </w:rPr>
        <w:t xml:space="preserve">. The amendments modernize the recognition and disclosure framework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internal-use software costs, removing the previous “development stage” model and introducing a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judgment-based approach. ASU 2025-06 is effective for fiscal years beginning after December 15, 2027, with early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adoption permitted. The Company is currently evaluating the potential impact of ASU 2025-06 on its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 and related disclosures.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Interim Reporting - Narrow Scope Improvements: In December 2025, the FASB issued ASU 2025-11, which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clarifies interim disclosure requirements and the applicability of ASC 270, </w:t>
      </w:r>
      <w:r>
        <w:rPr>
          <w:rFonts w:ascii="Times New Roman;serif" w:hAnsi="Times New Roman;serif"/>
          <w:b w:val="false"/>
          <w:i/>
          <w:strike w:val="false"/>
          <w:dstrike w:val="false"/>
          <w:sz w:val="20"/>
          <w:u w:val="none"/>
          <w:effect w:val="none"/>
        </w:rPr>
        <w:t>Interim Reporting</w:t>
      </w:r>
      <w:r>
        <w:rPr>
          <w:rFonts w:ascii="Times New Roman;serif" w:hAnsi="Times New Roman;serif"/>
          <w:b w:val="false"/>
          <w:i w:val="false"/>
          <w:caps w:val="false"/>
          <w:smallCaps w:val="false"/>
          <w:strike w:val="false"/>
          <w:dstrike w:val="false"/>
          <w:sz w:val="20"/>
          <w:u w:val="none"/>
          <w:effect w:val="none"/>
        </w:rPr>
        <w:t xml:space="preserve">. The objective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amendment is to provide further clarity about the current interim disclosure requirements. ASU 2025-11 is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interim reporting periods within annual reporting periods beginning after December 15, 2027, with early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adoption permitted. The Company is currently evaluating the potential impact of ASU 2025-11 on its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reporting requirements in the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Codification Improvements: In December 2025, the FASB issued ASU 2025-12, which updates U.S. GAAP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broad range of topics arising from technical corrections, unintended application of the codification, clarifications,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other minor improvements. The guidance is effective for fiscal years beginning after December 15, 2026,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interim reporting periods within those annual reporting periods, with early adoption permitted. The Company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currently evaluating the potential impact of ASU 2025-12 on its consolidated financial statements and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3.ACCOUNTS RECEIVABLE,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Accounts receivable, net, consist of the following (in millions):</w:t>
      </w:r>
    </w:p>
    <w:tbl>
      <w:tblPr>
        <w:tblW w:w="8617" w:type="dxa"/>
        <w:jc w:val="left"/>
        <w:tblInd w:w="0" w:type="dxa"/>
        <w:tblLayout w:type="fixed"/>
        <w:tblCellMar>
          <w:top w:w="28" w:type="dxa"/>
          <w:left w:w="28" w:type="dxa"/>
          <w:bottom w:w="28" w:type="dxa"/>
          <w:right w:w="28" w:type="dxa"/>
        </w:tblCellMar>
      </w:tblPr>
      <w:tblGrid>
        <w:gridCol w:w="5761"/>
        <w:gridCol w:w="1156"/>
        <w:gridCol w:w="109"/>
        <w:gridCol w:w="1591"/>
      </w:tblGrid>
      <w:tr>
        <w:trPr/>
        <w:tc>
          <w:tcPr>
            <w:tcW w:w="57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Equipment rental and related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$494</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Equipment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128</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Billed or uninvoiced OEM reimbursement receivables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accounts receivable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816</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Allowance for credit losses and doubtful accounts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Accounts receivable,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$748</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15</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4.INVENTORIES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Inventories consist of the following (in millions):</w:t>
      </w:r>
    </w:p>
    <w:tbl>
      <w:tblPr>
        <w:tblW w:w="8602" w:type="dxa"/>
        <w:jc w:val="left"/>
        <w:tblInd w:w="0" w:type="dxa"/>
        <w:tblLayout w:type="fixed"/>
        <w:tblCellMar>
          <w:top w:w="28" w:type="dxa"/>
          <w:left w:w="28" w:type="dxa"/>
          <w:bottom w:w="28" w:type="dxa"/>
          <w:right w:w="28" w:type="dxa"/>
        </w:tblCellMar>
      </w:tblPr>
      <w:tblGrid>
        <w:gridCol w:w="5746"/>
        <w:gridCol w:w="1156"/>
        <w:gridCol w:w="109"/>
        <w:gridCol w:w="1591"/>
      </w:tblGrid>
      <w:tr>
        <w:trPr/>
        <w:tc>
          <w:tcPr>
            <w:tcW w:w="57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46"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4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Equipment inventory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$131</w:t>
            </w:r>
          </w:p>
        </w:tc>
      </w:tr>
      <w:tr>
        <w:trPr/>
        <w:tc>
          <w:tcPr>
            <w:tcW w:w="574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Equipment parts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189</w:t>
            </w:r>
          </w:p>
        </w:tc>
      </w:tr>
      <w:tr>
        <w:trPr/>
        <w:tc>
          <w:tcPr>
            <w:tcW w:w="574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Telematics hardware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r>
      <w:tr>
        <w:trPr/>
        <w:tc>
          <w:tcPr>
            <w:tcW w:w="574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Building materials, supplies, small tools, and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w:t>
            </w:r>
          </w:p>
        </w:tc>
      </w:tr>
      <w:tr>
        <w:trPr/>
        <w:tc>
          <w:tcPr>
            <w:tcW w:w="574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inventories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5.RENTAL EQUIPMENT,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Rental equipment, net, consist of the following (in millions):</w:t>
      </w:r>
    </w:p>
    <w:tbl>
      <w:tblPr>
        <w:tblW w:w="8587" w:type="dxa"/>
        <w:jc w:val="left"/>
        <w:tblInd w:w="0" w:type="dxa"/>
        <w:tblLayout w:type="fixed"/>
        <w:tblCellMar>
          <w:top w:w="28" w:type="dxa"/>
          <w:left w:w="28" w:type="dxa"/>
          <w:bottom w:w="28" w:type="dxa"/>
          <w:right w:w="28" w:type="dxa"/>
        </w:tblCellMar>
      </w:tblPr>
      <w:tblGrid>
        <w:gridCol w:w="5731"/>
        <w:gridCol w:w="1156"/>
        <w:gridCol w:w="109"/>
        <w:gridCol w:w="1591"/>
      </w:tblGrid>
      <w:tr>
        <w:trPr/>
        <w:tc>
          <w:tcPr>
            <w:tcW w:w="57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31"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3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$3,596</w:t>
            </w:r>
          </w:p>
        </w:tc>
      </w:tr>
      <w:tr>
        <w:trPr/>
        <w:tc>
          <w:tcPr>
            <w:tcW w:w="573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Installed telematics tracker devices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w:t>
            </w:r>
          </w:p>
        </w:tc>
      </w:tr>
      <w:tr>
        <w:trPr/>
        <w:tc>
          <w:tcPr>
            <w:tcW w:w="573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3,677</w:t>
            </w:r>
          </w:p>
        </w:tc>
      </w:tr>
      <w:tr>
        <w:trPr/>
        <w:tc>
          <w:tcPr>
            <w:tcW w:w="573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Less: accumulated depreciation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(843)</w:t>
            </w:r>
          </w:p>
        </w:tc>
      </w:tr>
      <w:tr>
        <w:trPr/>
        <w:tc>
          <w:tcPr>
            <w:tcW w:w="573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Rental equipment,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$2,834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 the Company recognized $91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$173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rental equipment depreciation expense, respectively. During the three and six months ended June 30,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recognized $72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$139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rental equipment depreciation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Rental equipment related depreciation expense is recognized within depreciation and amortization as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component of cost of revenues on the condensed consolidated statements of operations.</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6.PROPERTY AND OTHER FIXED ASSETS,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Property and other fixed assets, net, consist of the following (in millions):</w:t>
      </w:r>
    </w:p>
    <w:tbl>
      <w:tblPr>
        <w:tblW w:w="8617" w:type="dxa"/>
        <w:jc w:val="left"/>
        <w:tblInd w:w="0" w:type="dxa"/>
        <w:tblLayout w:type="fixed"/>
        <w:tblCellMar>
          <w:top w:w="28" w:type="dxa"/>
          <w:left w:w="28" w:type="dxa"/>
          <w:bottom w:w="28" w:type="dxa"/>
          <w:right w:w="28" w:type="dxa"/>
        </w:tblCellMar>
      </w:tblPr>
      <w:tblGrid>
        <w:gridCol w:w="5761"/>
        <w:gridCol w:w="1156"/>
        <w:gridCol w:w="109"/>
        <w:gridCol w:w="1591"/>
      </w:tblGrid>
      <w:tr>
        <w:trPr/>
        <w:tc>
          <w:tcPr>
            <w:tcW w:w="57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Furniture, fixtures, office equipment and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$167</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Leasehold improvements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161</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Buildings and improvements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Construction in progress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Land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property and other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619</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Less: accumulated depreciation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property and other fixed assets,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 the Company recognized $15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$29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property and other fixed assets depreciation expense, respectively. During the three and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the Company recognized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property and other fixed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expense, respectively. Property and other fixed assets related depreciation expenses are recognized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selling, general and administrative expenses on the condensed consolidated statement of 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16</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7.CAPITALIZED SOFTWARE,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Capitalized software, net, consists of the following (in millions):</w:t>
      </w:r>
    </w:p>
    <w:tbl>
      <w:tblPr>
        <w:tblW w:w="8572" w:type="dxa"/>
        <w:jc w:val="left"/>
        <w:tblInd w:w="0" w:type="dxa"/>
        <w:tblLayout w:type="fixed"/>
        <w:tblCellMar>
          <w:top w:w="28" w:type="dxa"/>
          <w:left w:w="28" w:type="dxa"/>
          <w:bottom w:w="28" w:type="dxa"/>
          <w:right w:w="28" w:type="dxa"/>
        </w:tblCellMar>
      </w:tblPr>
      <w:tblGrid>
        <w:gridCol w:w="5716"/>
        <w:gridCol w:w="1156"/>
        <w:gridCol w:w="109"/>
        <w:gridCol w:w="1591"/>
      </w:tblGrid>
      <w:tr>
        <w:trPr/>
        <w:tc>
          <w:tcPr>
            <w:tcW w:w="57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16"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1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Capitalized software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$153</w:t>
            </w:r>
          </w:p>
        </w:tc>
      </w:tr>
      <w:tr>
        <w:trPr/>
        <w:tc>
          <w:tcPr>
            <w:tcW w:w="571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Less: accumulated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w:t>
            </w:r>
          </w:p>
        </w:tc>
      </w:tr>
      <w:tr>
        <w:trPr/>
        <w:tc>
          <w:tcPr>
            <w:tcW w:w="571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capitalized software,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 the Company recognized $7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$14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capitalized software amortization expense, respectively. During the three and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the Company recognized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capitalized software amortization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 respectively. Capitalized software amortization expense is recognized within depreciation and amortization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a component of cost of revenues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8.ACCRUED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Accrued liabilities consist of the following (in millions):</w:t>
      </w:r>
    </w:p>
    <w:tbl>
      <w:tblPr>
        <w:tblW w:w="8617" w:type="dxa"/>
        <w:jc w:val="left"/>
        <w:tblInd w:w="0" w:type="dxa"/>
        <w:tblLayout w:type="fixed"/>
        <w:tblCellMar>
          <w:top w:w="28" w:type="dxa"/>
          <w:left w:w="28" w:type="dxa"/>
          <w:bottom w:w="28" w:type="dxa"/>
          <w:right w:w="28" w:type="dxa"/>
        </w:tblCellMar>
      </w:tblPr>
      <w:tblGrid>
        <w:gridCol w:w="5761"/>
        <w:gridCol w:w="1156"/>
        <w:gridCol w:w="109"/>
        <w:gridCol w:w="1591"/>
      </w:tblGrid>
      <w:tr>
        <w:trPr/>
        <w:tc>
          <w:tcPr>
            <w:tcW w:w="57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Accrued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Accrued inventory 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Accrued salaries and benefits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Accrued equipment 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281</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Payable to OWN Program participants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Accrued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Insurance claims, including incurred but not reported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Deferred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Manufacturer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Real and personal property tax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Sales and income tax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r>
      <w:tr>
        <w:trPr/>
        <w:tc>
          <w:tcPr>
            <w:tcW w:w="576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w:t>
            </w:r>
          </w:p>
        </w:tc>
      </w:tr>
      <w:tr>
        <w:trPr/>
        <w:tc>
          <w:tcPr>
            <w:tcW w:w="576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accrued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$609</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17</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9.LONG-TERM DEBT AND LINES OF CREDIT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had the following outstanding amounts of long-term debt (in millions):</w:t>
      </w:r>
    </w:p>
    <w:tbl>
      <w:tblPr>
        <w:tblW w:w="8587" w:type="dxa"/>
        <w:jc w:val="left"/>
        <w:tblInd w:w="0" w:type="dxa"/>
        <w:tblLayout w:type="fixed"/>
        <w:tblCellMar>
          <w:top w:w="28" w:type="dxa"/>
          <w:left w:w="28" w:type="dxa"/>
          <w:bottom w:w="28" w:type="dxa"/>
          <w:right w:w="28" w:type="dxa"/>
        </w:tblCellMar>
      </w:tblPr>
      <w:tblGrid>
        <w:gridCol w:w="5731"/>
        <w:gridCol w:w="1156"/>
        <w:gridCol w:w="109"/>
        <w:gridCol w:w="1591"/>
      </w:tblGrid>
      <w:tr>
        <w:trPr/>
        <w:tc>
          <w:tcPr>
            <w:tcW w:w="57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731"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57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debt and lines of credit:</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Asset based revolving credit facility, bearing interest at a rate of 5.00%,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secured by equipment and other 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$1,196</w:t>
            </w:r>
          </w:p>
        </w:tc>
      </w:tr>
      <w:tr>
        <w:trPr/>
        <w:tc>
          <w:tcPr>
            <w:tcW w:w="573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Senior Secured Second Lien Notes bearing interest at a rate of 9.00%</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1,034</w:t>
            </w:r>
          </w:p>
        </w:tc>
      </w:tr>
      <w:tr>
        <w:trPr/>
        <w:tc>
          <w:tcPr>
            <w:tcW w:w="573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Senior Secured Second Lien Notes bearing interest at a rate of 8.625%</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600</w:t>
            </w:r>
          </w:p>
        </w:tc>
      </w:tr>
      <w:tr>
        <w:trPr/>
        <w:tc>
          <w:tcPr>
            <w:tcW w:w="573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Senior Secured Second Lien Notes bearing interest at a rate of 8.00%</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500</w:t>
            </w:r>
          </w:p>
        </w:tc>
      </w:tr>
      <w:tr>
        <w:trPr/>
        <w:tc>
          <w:tcPr>
            <w:tcW w:w="57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Notes payable to various institutions, bearing interest at rates ranging </w:t>
            </w:r>
          </w:p>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from 3.75%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to 5.10%, maturing through 2029, secured by specific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 xml:space="preserve">equipment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r>
        <w:trPr/>
        <w:tc>
          <w:tcPr>
            <w:tcW w:w="57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Equipment financing lines of credit with various institutions, bearing </w:t>
            </w:r>
          </w:p>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 xml:space="preserve">interest at rates primarily ranging from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18"/>
                <w:u w:val="none"/>
                <w:effect w:val="none"/>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to 9.62%, maturing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through 2026</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r>
      <w:tr>
        <w:trPr/>
        <w:tc>
          <w:tcPr>
            <w:tcW w:w="573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long-term debt and lines of credit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3,335</w:t>
            </w:r>
          </w:p>
        </w:tc>
      </w:tr>
      <w:tr>
        <w:trPr/>
        <w:tc>
          <w:tcPr>
            <w:tcW w:w="5731"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Less: original issue discounts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r>
      <w:tr>
        <w:trPr/>
        <w:tc>
          <w:tcPr>
            <w:tcW w:w="573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Less: 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r>
      <w:tr>
        <w:trPr/>
        <w:tc>
          <w:tcPr>
            <w:tcW w:w="573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3,272</w:t>
            </w:r>
          </w:p>
        </w:tc>
      </w:tr>
      <w:tr>
        <w:trPr/>
        <w:tc>
          <w:tcPr>
            <w:tcW w:w="5731"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Less: current maturities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r>
      <w:tr>
        <w:trPr/>
        <w:tc>
          <w:tcPr>
            <w:tcW w:w="57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Long-term debt and lines of credit, net of current portion, original issue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discounts, and 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$3,268</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ABL Credit Facility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2021, the Company entered into an asset-based lending facility (the “ABL Facility”). On November 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the Company refinanced existing borrowings under the ABL Facility by entering into a new senior secured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asset-based revolving credit facility (the “ABL Credit Facility”). The ABL Credit Facility has a maturity date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November 26, 2030. The ABL Credit Facility provides available “borrowing capacity” (the maximum borrowing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permitted, assuming there is sufficient collateral as identified under the ABL Credit Facility) up to $2.75 billion.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Borrowings under the ABL Credit Facility bear interest at a rate (at the Company’s election) equal to either (i)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Secured Overnight Financing Rate (“SOFR”) plus a spread between 112.5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137.5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basis points or (ii) the greatest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0%, (b) the Federal Funds Rate in effect on such day plus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basis points, (c) the SOFR for a one month tenor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effect on such day (to the extent ascertainable), plus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basis points, and (d) the Prime Rate plus (y) a spread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between 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basis points and 37.5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basis points. In connection with the refinancing during the three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 the Company expensed $8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previously capitalized debt issuance costs relating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lenders under the ABL Facility who exited the syndicate, and included in loss on debt extinguishment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net income. Additionally, in connection with the refinancing, the Company capitalized $9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debt issuance costs.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April 15, 2026, the Company amended the ABL Credit Facility (the “Amendment”). The Amendment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revised the mandatory prepayment provisions applicable to net cash proceeds received from transfers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 Program. Under the amended terms, the Company is required to prepay outstanding borrowings under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ABL Credit Facility with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such net cash proceeds within five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business days following the occurrence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specified trigger events. The Amendment also specifies the application of such prepayments to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borrowings without reducing revolving commitments and requires the Company to provide monthly reporting of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proceeds from OWN Program transfers to the administrative agent. No other material terms of ABL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Facility were amended.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ABL Credit Facility contains negative covenants that permit, subject to certain defined conditions,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to, among other things, (i) incur additional indebtedness or engage in certain other types of financing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(ii) allow certain liens to attach to assets, (iii) repurchase, or pay dividends, or make certain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restricted payments on, capital stock and certain other securities, subject to applicable caps, (iv) prepay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indebtedness and (v) make certain acquisitions and investments. Under the ABL Credit Facility, there is 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covenant that will only apply in the future if excess availability under the ABL Credit Facility falls below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greater of 10 percent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maximum borrowing amount under the ABL Credit Facility or $175 million.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availability under the ABL Credit Facility exceeded this threshold and, as a result, the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covenant was not applicable.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Company had $1,554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outstanding under the ABL Credit Facility bearing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interest at the SOFR of 5.00%, includ</w:t>
      </w:r>
      <w:r>
        <w:rPr>
          <w:rFonts w:ascii="Times New Roman;serif" w:hAnsi="Times New Roman;serif"/>
          <w:b w:val="false"/>
          <w:i w:val="false"/>
          <w:caps w:val="false"/>
          <w:smallCaps w:val="false"/>
          <w:strike w:val="false"/>
          <w:dstrike w:val="false"/>
          <w:sz w:val="20"/>
          <w:u w:val="none"/>
          <w:effect w:val="none"/>
          <w:shd w:fill="FFFFFF" w:val="clear"/>
        </w:rPr>
        <w:t xml:space="preserve">ed in long-term debt on the condensed consolidated balance sheets.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ABL Credit Facility provides available “borrowing capacity” (the maximum borrowing permitted,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assuming there is sufficient collateral as identified under the ABL Facility) and “net excess availability” (the amount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additional debt the Company could borrow based on the existing borrowing base). As of June 30, 2026,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had a borrowing base, as defined in the ABL Credit Facility, of $2,540 million. After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borrowings and letters of credit, the net excess availability at June 30, 2026, as defined in the ABL Credit Facility,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$980 million, of which the Company could borrow up to $726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without any additional repayment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conditions.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Other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note agreements between the Company and various institutions contain restrictions and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covenants, including maintaining an adjusted fixed charge coverage ratio of 1.15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 net funded debt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adjusted EBITDA ratio of 6.00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1.00. As of June 30, 2026, the Company was in compliance with those restrictions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financial covenants.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Company had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letters of credit outstanding with financial institutions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secured by line of credit availability. The letters of credit automatically renew annually unless the Company gives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notice to the financial institution to terminate the letter of credit.</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10.LEASES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Leasing Activities – Lessee:</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Lease arrangements with OWN Program participants: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the OWN Program, the Company leases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owned by participants. The Company accounts for these arrangements as a lease under ASC Topic 842,</w:t>
      </w:r>
      <w:r>
        <w:rPr>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Leases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(“Topic 842”) whereby the Company is the lessee.</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Lease arrangements with other parties: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as a lessee, also leases properties, vehicles,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used in its operations from parties not participating in the OWN Program, and aircraft under various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and finance leases.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leases are noncancellable and expire on various terms thr</w:t>
      </w:r>
      <w:r>
        <w:rPr>
          <w:rFonts w:ascii="Times New Roman;serif" w:hAnsi="Times New Roman;serif"/>
          <w:b w:val="false"/>
          <w:i w:val="false"/>
          <w:caps w:val="false"/>
          <w:smallCaps w:val="false"/>
          <w:strike w:val="false"/>
          <w:dstrike w:val="false"/>
          <w:sz w:val="20"/>
          <w:u w:val="none"/>
          <w:effect w:val="none"/>
          <w:shd w:fill="FFFFFF" w:val="clear"/>
        </w:rPr>
        <w:t xml:space="preserve">ough 2040. </w:t>
      </w:r>
      <w:r>
        <w:rPr>
          <w:rFonts w:ascii="Times New Roman;serif" w:hAnsi="Times New Roman;serif"/>
          <w:b w:val="false"/>
          <w:i w:val="false"/>
          <w:caps w:val="false"/>
          <w:smallCaps w:val="false"/>
          <w:strike w:val="false"/>
          <w:dstrike w:val="false"/>
          <w:sz w:val="20"/>
          <w:u w:val="none"/>
          <w:effect w:val="none"/>
        </w:rPr>
        <w:t xml:space="preserve">There are no material payments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leases that have not yet commenced.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19</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the components of the Company’s lease costs and the classification of such costs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condensed consolidated statements of operations (in millions):</w:t>
      </w:r>
    </w:p>
    <w:tbl>
      <w:tblPr>
        <w:tblW w:w="9267" w:type="dxa"/>
        <w:jc w:val="left"/>
        <w:tblInd w:w="0" w:type="dxa"/>
        <w:tblLayout w:type="fixed"/>
        <w:tblCellMar>
          <w:top w:w="28" w:type="dxa"/>
          <w:left w:w="28" w:type="dxa"/>
          <w:bottom w:w="28" w:type="dxa"/>
          <w:right w:w="28" w:type="dxa"/>
        </w:tblCellMar>
      </w:tblPr>
      <w:tblGrid>
        <w:gridCol w:w="2416"/>
        <w:gridCol w:w="109"/>
        <w:gridCol w:w="1801"/>
        <w:gridCol w:w="109"/>
        <w:gridCol w:w="1094"/>
        <w:gridCol w:w="256"/>
        <w:gridCol w:w="1094"/>
        <w:gridCol w:w="109"/>
        <w:gridCol w:w="978"/>
        <w:gridCol w:w="228"/>
        <w:gridCol w:w="1073"/>
      </w:tblGrid>
      <w:tr>
        <w:trPr/>
        <w:tc>
          <w:tcPr>
            <w:tcW w:w="2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Statements of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Six Months Ended June 30,</w:t>
            </w:r>
          </w:p>
        </w:tc>
      </w:tr>
      <w:tr>
        <w:trPr/>
        <w:tc>
          <w:tcPr>
            <w:tcW w:w="24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Component of Lease Cost</w:t>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Line Item</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4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OWN Program lease payments</w:t>
            </w:r>
            <w:r>
              <w:rPr>
                <w:caps w:val="false"/>
                <w:smallCaps w:val="false"/>
              </w:rPr>
              <w:t xml:space="preser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OWN Program payouts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$234</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$451</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$328</w:t>
            </w:r>
          </w:p>
        </w:tc>
      </w:tr>
      <w:tr>
        <w:trPr/>
        <w:tc>
          <w:tcPr>
            <w:tcW w:w="24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Equipment and vehicle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operating lease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 operating costs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073"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r>
      <w:tr>
        <w:trPr/>
        <w:tc>
          <w:tcPr>
            <w:tcW w:w="24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Real estate operating lease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Selling, general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52</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w:t>
            </w:r>
          </w:p>
        </w:tc>
      </w:tr>
      <w:tr>
        <w:trPr/>
        <w:tc>
          <w:tcPr>
            <w:tcW w:w="24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Finance lease expense: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073" w:type="dxa"/>
            <w:tcBorders/>
            <w:shd w:fill="FFFFFF" w:val="clear"/>
            <w:vAlign w:val="center"/>
          </w:tcPr>
          <w:p>
            <w:pPr>
              <w:pStyle w:val="TableContents"/>
              <w:bidi w:val="0"/>
              <w:spacing w:before="0" w:after="283"/>
              <w:jc w:val="left"/>
              <w:rPr>
                <w:sz w:val="4"/>
                <w:szCs w:val="4"/>
              </w:rPr>
            </w:pPr>
            <w:r>
              <w:rPr>
                <w:sz w:val="4"/>
                <w:szCs w:val="4"/>
              </w:rPr>
            </w:r>
          </w:p>
        </w:tc>
      </w:tr>
      <w:tr>
        <w:trPr/>
        <w:tc>
          <w:tcPr>
            <w:tcW w:w="24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Amortization of equipment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leased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of rental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r>
      <w:tr>
        <w:trPr/>
        <w:tc>
          <w:tcPr>
            <w:tcW w:w="24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Amortization of property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leased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Selling, general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administrative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073"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r>
        <w:trPr/>
        <w:tc>
          <w:tcPr>
            <w:tcW w:w="241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Interest on lease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r>
      <w:tr>
        <w:trPr/>
        <w:tc>
          <w:tcPr>
            <w:tcW w:w="241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Short-term lease 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Selling, general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administrative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073"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1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lease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$276</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$535</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11.COMMON STOCK AND EQUITY PLANS</w:t>
      </w:r>
    </w:p>
    <w:p>
      <w:pPr>
        <w:pStyle w:val="TextBody"/>
        <w:bidi w:val="0"/>
        <w:spacing w:lineRule="atLeast" w:line="200"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Initial Public Offering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Concurrent with the IPO, all outstanding shares of the Company’s convertible preferred stock were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automatically converted into 142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Class A common stock. As of June 30, 2026, the Company had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3,500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authorized shares of Class A common stock and approximately 215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Class A common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 issued and outstanding, along with 200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authorized shares of Class B common stock and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Class B common stock issued and outstanding.</w:t>
      </w:r>
    </w:p>
    <w:p>
      <w:pPr>
        <w:pStyle w:val="TextBody"/>
        <w:bidi w:val="0"/>
        <w:spacing w:lineRule="atLeast" w:line="200"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Employee Stock Purchase Plan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connection with the IPO, the Company adopted the EquipmentShare.com 2025 Employee Stock 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Plan (the “ESPP”). The maximum number of shares initially available for issuance under the ESPP is 2,316,263</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shares of common stock and will be increased on the first day of each fiscal year for a period of up to 10 years</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following the effective date of the ESPP in an amount equal to the least of (i) 12,000,000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(ii) 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total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number of shares of the Company’s Class A and Class B common stock outstanding as of the last completed fiscal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 and (iii) such number of shares as determined by the Company’s Board of Directors (the “Board”) in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discretion. The number of shares available at any time under the ESPP is subject to adjustment in the event of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dividend or other distribution (other than an ordinary dividend or distribution), recapitalization, stock split, reverse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split, reorganization, merger, consolidation, split-up, spin-off, combination, repurchase or exchange of shares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 other securities of the Company, or other change in the Company’s structure affecting the shares occurs.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number of shares which a participant may purchase in an offering under the ESPP may be reduced if the offering is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over-subscribed. The Company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grant any shares of common stock pursuant to the ESPP during the six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 ended June 30, 2026.</w:t>
      </w:r>
    </w:p>
    <w:p>
      <w:pPr>
        <w:pStyle w:val="TextBody"/>
        <w:bidi w:val="0"/>
        <w:spacing w:lineRule="atLeast" w:line="200"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2025 Omnibus Incentive Plan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connection with the IPO, the Company also adopted the EquipmentShare.com Inc 2025 Omnibus Incentive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Plan (the “2025 Plan</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Awards under the 2025 Plan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include stock options, stock appreciation rights, RSUs, PSUs,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cash-based awards and other stock-based awards (collectively, the “Awards”). The total number of shares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common stock initially authorized for issuance under the 2025 Plan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40,370,162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and this amount will be increased on January 1 of each year following the effective date of the 2025 Plan for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period of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an amount equal to the lesser of (i) 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outstanding shares on the last day of the immediately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preceding fiscal year and (ii) such number of shares as determined by the Compensation Committee of the Board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its sole discretion. The Awards granted pursuant to the 2025 Plan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will be issued with respect to shares of Class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common stock of the Company, other than the IPO Founders Awards.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RSUs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months ended June 30, 2026, the Company granted 708,450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the 2025 Plan with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grant date price per unit of $20.01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(fair value of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certain service providers who are not Section 16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officers. The Company records stock-based compensation expense on a straight-line recognition method over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requisite service period for the entire award. Each RSU represents the right to receive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 of Class A common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 at a future date. The RSUs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vest equally over four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years, the first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RSU award vests after one year</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grant date, and the remaining 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RSU award vests on a quarterly basis thereafter. These RSUs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will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settled within 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days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vesting. From these RSU awards, 4,830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RSUs vested, and 1,000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RSUs were forfeited.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Stock-based compensation expense was $0.5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RSUs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both the three and six months ended June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30, 2026. As of June 30, 2026, the Company had a total of 702,620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unvested RSUs outstanding and the total pretax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compensation cost not yet recognized was $14 million. The weighted average period over which this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cost is expected to be recognized is 3.6 years.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IPO Founders Awards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connection with the IPO, the Board approved grants of PSUs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each of the Founders under the 2025 Plan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that could result in the issuance, to each of the Founders, of as few as zero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the Company’s Class B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common stock and up to 18,321,644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Class B common stock. Each of the IPO Founders Awards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granted on January 26, 2026 (the “Grant Date”) and is comprised of five tranches of PSUs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set forth in the table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below, the vesting of which are subject to service conditions and market conditions, including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achieving specified stock price hurdles, as set forth in the table below and subject to anti-dilution adjustments,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performance period beginning on the first day following the expiration of the lock-up period set forth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agreement with its underwriters in connection with the IPO (or, with respect to tranche 1, beginning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January 27, 2026) and ending on the earliest to occur of (i) the tenth anniversary of the Grant Date, (ii) a change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control (as defined in the 2025 Plan) or (iii) the date on which the shares of the Company’s Class A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are no longer traded on a securities exchange or market. Achievement of the applicable stock price hurdle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PSU tranche will occur on the date that the average closing price per share of the Company’s Class A common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 during any 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consecutive trading days during the performance period equaled or exceeded the applicable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price hurdle for such tranche, except that achievement of the stock price hurdle for tranche 1 occurred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January 27, 2026, the date that the closing price per share of the Company’s Class A common stock during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performance period equaled or exceeded the stock price hurdle for such tranche. Any PSUs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which the applicable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price hurdle is not achieved prior to the end of the performance period will be forfeited in their entirety. </w:t>
      </w:r>
    </w:p>
    <w:tbl>
      <w:tblPr>
        <w:tblW w:w="5246" w:type="dxa"/>
        <w:jc w:val="left"/>
        <w:tblInd w:w="0" w:type="dxa"/>
        <w:tblLayout w:type="fixed"/>
        <w:tblCellMar>
          <w:top w:w="28" w:type="dxa"/>
          <w:left w:w="28" w:type="dxa"/>
          <w:bottom w:w="28" w:type="dxa"/>
          <w:right w:w="28" w:type="dxa"/>
        </w:tblCellMar>
      </w:tblPr>
      <w:tblGrid>
        <w:gridCol w:w="766"/>
        <w:gridCol w:w="109"/>
        <w:gridCol w:w="2116"/>
        <w:gridCol w:w="109"/>
        <w:gridCol w:w="2146"/>
      </w:tblGrid>
      <w:tr>
        <w:trPr/>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Tranche</w:t>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Price Hurdle (per Share)</w:t>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 of Award eligible to be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Earned</w:t>
            </w:r>
          </w:p>
        </w:tc>
      </w:tr>
      <w:tr>
        <w:trPr/>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17.70%</w:t>
            </w:r>
          </w:p>
        </w:tc>
      </w:tr>
      <w:tr>
        <w:trPr/>
        <w:tc>
          <w:tcPr>
            <w:tcW w:w="76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21.11%</w:t>
            </w:r>
          </w:p>
        </w:tc>
      </w:tr>
      <w:tr>
        <w:trPr/>
        <w:tc>
          <w:tcPr>
            <w:tcW w:w="76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21.11%</w:t>
            </w:r>
          </w:p>
        </w:tc>
      </w:tr>
      <w:tr>
        <w:trPr/>
        <w:tc>
          <w:tcPr>
            <w:tcW w:w="76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21.11%</w:t>
            </w:r>
          </w:p>
        </w:tc>
      </w:tr>
      <w:tr>
        <w:trPr/>
        <w:tc>
          <w:tcPr>
            <w:tcW w:w="76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358.16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18.97%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21</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the IPO Founders Awards was estimated as of the Grant Date using Monte Carlo simulations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with the following assumptions:</w:t>
      </w:r>
    </w:p>
    <w:tbl>
      <w:tblPr>
        <w:tblW w:w="7352" w:type="dxa"/>
        <w:jc w:val="left"/>
        <w:tblInd w:w="0" w:type="dxa"/>
        <w:tblLayout w:type="fixed"/>
        <w:tblCellMar>
          <w:top w:w="28" w:type="dxa"/>
          <w:left w:w="28" w:type="dxa"/>
          <w:bottom w:w="28" w:type="dxa"/>
          <w:right w:w="28" w:type="dxa"/>
        </w:tblCellMar>
      </w:tblPr>
      <w:tblGrid>
        <w:gridCol w:w="6736"/>
        <w:gridCol w:w="616"/>
      </w:tblGrid>
      <w:tr>
        <w:trPr/>
        <w:tc>
          <w:tcPr>
            <w:tcW w:w="67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Expected dividend yield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w:t>
            </w:r>
          </w:p>
        </w:tc>
      </w:tr>
      <w:tr>
        <w:trPr/>
        <w:tc>
          <w:tcPr>
            <w:tcW w:w="673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Expected volatility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40.0%</w:t>
            </w:r>
          </w:p>
        </w:tc>
      </w:tr>
      <w:tr>
        <w:trPr/>
        <w:tc>
          <w:tcPr>
            <w:tcW w:w="673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Risk-free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w:t>
            </w:r>
          </w:p>
        </w:tc>
      </w:tr>
      <w:tr>
        <w:trPr/>
        <w:tc>
          <w:tcPr>
            <w:tcW w:w="673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Requisite Service Period (years) - Tranche 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4.00</w:t>
            </w:r>
          </w:p>
        </w:tc>
      </w:tr>
      <w:tr>
        <w:trPr/>
        <w:tc>
          <w:tcPr>
            <w:tcW w:w="673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Requisite Service Period (years) - Tranche 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7.24</w:t>
            </w:r>
          </w:p>
        </w:tc>
      </w:tr>
      <w:tr>
        <w:trPr/>
        <w:tc>
          <w:tcPr>
            <w:tcW w:w="673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Requisite Service Period (years) - Tranche 3</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9.75</w:t>
            </w:r>
          </w:p>
        </w:tc>
      </w:tr>
      <w:tr>
        <w:trPr/>
        <w:tc>
          <w:tcPr>
            <w:tcW w:w="673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Requisite Service Period (years) - Tranche 4</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11.28</w:t>
            </w:r>
          </w:p>
        </w:tc>
      </w:tr>
      <w:tr>
        <w:trPr/>
        <w:tc>
          <w:tcPr>
            <w:tcW w:w="673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Requisite Service Period (years) - Tranche 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11.81</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market condition for Tranche 1 had been achieved. Accordingly,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17.70%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IPO Founder Awards (6,485,862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PSUs in the aggregate) had satisfied the applicable market condition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remain subject to the related service-based vesting requirement. The remaining 82.30%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IPO Founder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Awards continue to be subject to achievement of the applicable market conditions and service-based vesting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requirements.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historically has not paid dividends on common stock and has no plans to issue dividends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foreseeable future. The expected volatility assumption used to estimate the Grant Date fair value of each tranche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award was based on the average historical volatility of comparable entities with publicly traded shares. The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free rate for the requisite service period for each tranche was based on the U.S. Treasury yield curve as of the Grant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Grant Date fair value of the IPO Founders Awards was $624 million. Stock-based compensation expense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$41 million, was recorded for the IPO Founders Awards during the three and six months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respectively, and is included in selling, general and administrative expenses in the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operations. As of June 30, 2026, the unrecognized stock-based compensation expense yet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be recognized over the vesting period was $49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2026, $98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2027, $98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2028, $98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2029, $52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2030, and $189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thereafter. The weighted average remaining life was 7.25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2016 Equity Incentive Plan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2016, the Company created the 2016 Equity Incentive Plan (“2016 Plan”), which allows for the issuance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options to purchase shares of EquipmentShare common stock. The employees eligible to participate in the plan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determined by the plan’s committee. Options are issued with an exercise price equal to the fair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common stock and with vesting conditions as determined by the plan’s committee. Option awards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time-based vesting conditions generally range from 12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48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Option awards with service, performance, 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 market conditions, as defined, vest when those milestones are achieved (the “milestone-based awards”). Options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generally forfeited upon termination or when performance or market conditions are not met, and forfeitures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accounted for as they occur.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Stock Options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Company has a total of 22,525,256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options authorized. There were 9,049,367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issued and outstanding.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Stock-based compensation expense of $0.7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recorded for vested time-based options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three and six months ended June 30, 2026, respectively, and stock-based compensation expense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recorded for the three and six months ended June 30, 2025, respectively, and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selling, general and administrative expenses in the condensed consolidated statements of operations.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June 30, 2026, the unrecognized stock-based compensation expense yet to be recognized over the vesting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22</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$5 million. The weighted average remaining life of the outstanding stock options was 1.4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June 30,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milestone-based awards were granted 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2025.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recognized less than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stock compensation expense for milestone-based option awards during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of the six months ended June 30, 2026 and 2025. It is not probable that the performance conditions will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achieved in the next 12 months. The Company had 320,000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unvested milestone-based option awards granted in 2022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as of June 30, 2026. If the 2022 award milestones, as defined, are not achieved by January 31, 2032,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then these unvested options will be forfeited.  The estimated unrecognized stock-based compensation expense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recognized if and when the performance conditions are considered probable of being achieved could be up to $0.4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2022 awards as of June 30, 2026. The weighted average remaining life of the outstanding milestone-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based stock option awards was 5.6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2022 awards as of June 30, 2026.</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RSUs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six months ended June 30, 2026, the Company granted 149,698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RSUs under the 2016 Plan with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weighted average grant date price per unit of $22.78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(fair value of $3 million). From this grant, 8,105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RSUs vested,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8,669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RSUs were forfeited. As of June 30, 2026, the Company had a total of 132,924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unvested RSUs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and the total pretax compensation cost not yet recognized by the Company for unvested RSUs was $3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 The weighted average period over which this compensation cost is expected to be recognized is 3.5 years.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issued performance-based RSUs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the 2016 Plan with two-tiered vesting conditions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 a service requirement and a liquidity event requirement. The service condition of the RSUs will be met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provided the participant is in continuous service over the defined period of time generally 12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48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liquidity event requirement was satisfied on the effective date of the IPO. RSUs shall be settled no later than March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15 of the calendar year following the calendar year in which each vesting event occurs. Upon the consummation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IPO, the performance-based vesting conditions for outstanding RSUs was satisfied. As a result, the RSUs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had satisfied the service-based condition date became vested. For the three and six months ended June 30, 2026,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recognized $0.2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 million, respectively, of stock-based compensation expense attributable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RSUs.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stock-based compensation expense attributable to RSUs was recognized for the three and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2025, as the performance-based vesting condition had not been satisfied at that time.</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23</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12.REVENUE RECOGNITION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Company recognizes revenue in accordance with two accounting standards: (1) Topic 842, which addresses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lease accounting, and (2) Topic 606, which addresses revenue from contracts with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disaggregates the Company’s revenue based on type and the applicable accounting standard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millions):</w:t>
      </w:r>
    </w:p>
    <w:tbl>
      <w:tblPr>
        <w:tblW w:w="9402" w:type="dxa"/>
        <w:jc w:val="left"/>
        <w:tblInd w:w="0" w:type="dxa"/>
        <w:tblLayout w:type="fixed"/>
        <w:tblCellMar>
          <w:top w:w="28" w:type="dxa"/>
          <w:left w:w="28" w:type="dxa"/>
          <w:bottom w:w="28" w:type="dxa"/>
          <w:right w:w="28" w:type="dxa"/>
        </w:tblCellMar>
      </w:tblPr>
      <w:tblGrid>
        <w:gridCol w:w="4036"/>
        <w:gridCol w:w="856"/>
        <w:gridCol w:w="109"/>
        <w:gridCol w:w="856"/>
        <w:gridCol w:w="109"/>
        <w:gridCol w:w="676"/>
        <w:gridCol w:w="109"/>
        <w:gridCol w:w="856"/>
        <w:gridCol w:w="109"/>
        <w:gridCol w:w="856"/>
        <w:gridCol w:w="109"/>
        <w:gridCol w:w="721"/>
      </w:tblGrid>
      <w:tr>
        <w:trPr/>
        <w:tc>
          <w:tcPr>
            <w:tcW w:w="403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jc w:val="left"/>
              <w:rPr>
                <w:sz w:val="4"/>
                <w:szCs w:val="4"/>
              </w:rPr>
            </w:pPr>
            <w:r>
              <w:rPr>
                <w:sz w:val="4"/>
                <w:szCs w:val="4"/>
              </w:rPr>
            </w:r>
          </w:p>
        </w:tc>
        <w:tc>
          <w:tcPr>
            <w:tcW w:w="5366" w:type="dxa"/>
            <w:gridSpan w:val="11"/>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Three Months Ended June 30,</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260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842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606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842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606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Total</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rental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$509</w:t>
            </w:r>
          </w:p>
        </w:tc>
      </w:tr>
      <w:tr>
        <w:trPr/>
        <w:tc>
          <w:tcPr>
            <w:tcW w:w="4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Ancillary and other rental revenue:</w:t>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Delivery and pick-up</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equipment rental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equipment rental and related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577</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Equipment sales (new and used)</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r>
      <w:tr>
        <w:trPr/>
        <w:tc>
          <w:tcPr>
            <w:tcW w:w="4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Equipment parts and supplies and services:</w:t>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parts and supplies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equipment parts and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r>
      <w:tr>
        <w:trPr/>
        <w:tc>
          <w:tcPr>
            <w:tcW w:w="4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Platform revenue:</w:t>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$1,147</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equipment sales to OWN Program participants were $428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$417 million,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respectively. 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equipment sales to contractors and other end users were $55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$61 million, respectively.</w:t>
      </w:r>
    </w:p>
    <w:tbl>
      <w:tblPr>
        <w:tblW w:w="9252" w:type="dxa"/>
        <w:jc w:val="left"/>
        <w:tblInd w:w="0" w:type="dxa"/>
        <w:tblLayout w:type="fixed"/>
        <w:tblCellMar>
          <w:top w:w="28" w:type="dxa"/>
          <w:left w:w="28" w:type="dxa"/>
          <w:bottom w:w="28" w:type="dxa"/>
          <w:right w:w="28" w:type="dxa"/>
        </w:tblCellMar>
      </w:tblPr>
      <w:tblGrid>
        <w:gridCol w:w="4036"/>
        <w:gridCol w:w="856"/>
        <w:gridCol w:w="109"/>
        <w:gridCol w:w="856"/>
        <w:gridCol w:w="109"/>
        <w:gridCol w:w="601"/>
        <w:gridCol w:w="109"/>
        <w:gridCol w:w="856"/>
        <w:gridCol w:w="109"/>
        <w:gridCol w:w="856"/>
        <w:gridCol w:w="109"/>
        <w:gridCol w:w="646"/>
      </w:tblGrid>
      <w:tr>
        <w:trPr/>
        <w:tc>
          <w:tcPr>
            <w:tcW w:w="403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jc w:val="left"/>
              <w:rPr>
                <w:sz w:val="4"/>
                <w:szCs w:val="4"/>
              </w:rPr>
            </w:pPr>
            <w:r>
              <w:rPr>
                <w:sz w:val="4"/>
                <w:szCs w:val="4"/>
              </w:rPr>
            </w:r>
          </w:p>
        </w:tc>
        <w:tc>
          <w:tcPr>
            <w:tcW w:w="5216" w:type="dxa"/>
            <w:gridSpan w:val="11"/>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Six Months Ended June 30,</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253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842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606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842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Topic 606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Total</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rental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$948</w:t>
            </w:r>
          </w:p>
        </w:tc>
      </w:tr>
      <w:tr>
        <w:trPr/>
        <w:tc>
          <w:tcPr>
            <w:tcW w:w="4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Ancillary and other rental revenue:</w:t>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Delivery and pick-up</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equipment rental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equipment rental and related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1,072</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Equipment sales (new and used)</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624</w:t>
            </w:r>
          </w:p>
        </w:tc>
      </w:tr>
      <w:tr>
        <w:trPr/>
        <w:tc>
          <w:tcPr>
            <w:tcW w:w="4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Equipment parts and supplies and services:</w:t>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Equipment parts and supplies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equipment parts and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w:t>
            </w:r>
          </w:p>
        </w:tc>
      </w:tr>
      <w:tr>
        <w:trPr/>
        <w:tc>
          <w:tcPr>
            <w:tcW w:w="4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Platform revenue:</w:t>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403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403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equipment sales to OWN Program participants were $530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$512 million,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respectively. 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equipment sales to contractors and other end users were $131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$112 million,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24</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The Company's Equipment Rental and Services Operations segment revenu</w:t>
      </w:r>
      <w:r>
        <w:rPr>
          <w:rFonts w:ascii="Times New Roman;serif" w:hAnsi="Times New Roman;serif"/>
          <w:b w:val="false"/>
          <w:i w:val="false"/>
          <w:caps w:val="false"/>
          <w:smallCaps w:val="false"/>
          <w:strike w:val="false"/>
          <w:dstrike w:val="false"/>
          <w:sz w:val="20"/>
          <w:u w:val="none"/>
          <w:effect w:val="none"/>
        </w:rPr>
        <w:t>e (see Note 18. Segments) i</w:t>
      </w:r>
      <w:r>
        <w:rPr>
          <w:rFonts w:ascii="Times New Roman;serif" w:hAnsi="Times New Roman;serif"/>
          <w:b w:val="false"/>
          <w:i w:val="false"/>
          <w:caps w:val="false"/>
          <w:smallCaps w:val="false"/>
          <w:strike w:val="false"/>
          <w:dstrike w:val="false"/>
          <w:sz w:val="20"/>
          <w:u w:val="none"/>
          <w:effect w:val="none"/>
          <w:shd w:fill="FFFFFF" w:val="clear"/>
        </w:rPr>
        <w:t xml:space="preser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comprised of equipment rental and related services and equipment parts and supplies and services revenue presented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in the table above.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disaggregation of the Company's revenue from contracts to customers as reflected above, coupled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reportable segment disclosures (see Note 18. Segments), depicts how the nature, amount, timing and uncertainty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the Company's revenue and cash flows are affected by economic factors.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rental sublease income was $408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$759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respectively, and  $293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$538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months ended June 30,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Revenue for lease arrangements with customers (Topic 842)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rental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is in the business of renting equipment that is owned by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 rented from vendors, contractors, and others and then re-rented to the Company’s third-party customers.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arrangements are accounted for as operating leases with the Company as a lessor and governed by the standard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rental contract.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 lessor of rental equipment to customers, revenue is recognized in the period earned on a straight-line basis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the contract term, regardless of timing of billing to customers. A rental contract term can be daily, weekly,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monthly (28 days), and is billed when the monthly rental charge is achieved, or at the completion of the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 whichever is sooner. From time to time, the Company provides an option for the lessee to purchase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rented equipment at the end of the lease, however, the Company does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generate material revenue from sales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under such rental purchase option arrangements.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revenue includes revenue generated by the Company, as a sublessor, from equipment that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owned by others who are participants in the Company’s OWN Program. Under the OWN Program, the owner’s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is fully enabled with the Company’s T3 telematics and placed on the Company’s platform to be rented.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revenue generated while the equipment is rented to the Company’s customers is shared between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and the owner of the equipment. The Company may also provide other services under the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such as maintenance, insurance, and remarketing services. Rental revenue generated from the OWN Program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divided between the Company and the owner of the equipment, and for the duration of the arrangement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manages the owner’s equipment utilizing the T3 operating system.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Ancillary and other equipment rental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Delivery fees charged are variable, based on the type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being delivered, the requested delivery time, the distance of the delivery and other relevant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considerations. Delivery occurs before the rental period begins and, therefore, delivery fees charged are recognized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 the monthly rental period.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equipment rental revenue is primarily comprised of (i) revenue generated from customers who 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insurance coverage to protect against potential damages or loss to the equipment rented and (ii) environmental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fees assessed on the rental asset. Rental insurance coverage revenue is rec</w:t>
      </w:r>
      <w:r>
        <w:rPr>
          <w:rFonts w:ascii="Times New Roman;serif" w:hAnsi="Times New Roman;serif"/>
          <w:b w:val="false"/>
          <w:i w:val="false"/>
          <w:caps w:val="false"/>
          <w:smallCaps w:val="false"/>
          <w:strike w:val="false"/>
          <w:dstrike w:val="false"/>
          <w:sz w:val="20"/>
          <w:u w:val="none"/>
          <w:effect w:val="none"/>
          <w:shd w:fill="FFFFFF" w:val="clear"/>
        </w:rPr>
        <w:t xml:space="preserve">ognized as revenue in the period earned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 straight-line basis over the contract term, regardless of timing of billing to customers. Environmental fee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is recognized in the period earned on a straight-line basis over the contract term.</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Revenues from contracts with customers (Topic 606)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Pick-up services: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Pick-up services are at the customer’s option after the lease has terminated, and control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asset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longer resides with the lessee. Accordingly, the Company recognizes revenue from pick-up services at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point in time when the pick-up service has been provided, regardless of timing of billing to customers.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Fuel recovery fees: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Similar to pick-up services, fuel recovery charges are at the customer’s option after the lease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has terminated, and control of the asset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longer resides with the lessee. Accordingly, fuel recovery fees, which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25</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other equipment rental, are recognized at the point in time when the customer elects the service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service has been provided by the Company.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 (new and used) and equipment parts and supplies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recognizes revenue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of new equipment and used equipment, as well as revenue on sales of parts and supplies, at the point in time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it has a contract in place and satisfies the performance obligation by transferring control of the product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service to a customer. The amount of revenue recognized reflects the consideration the Company expects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entitled to in exchange for such products or services. The Company recognizes revenue on sales of new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used equipment, and parts and supplies when control has transferred to the customer, which is typically when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 is picked up, delivered to the customer, or when significant risks and rewards of ownership have passed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 In certain cases, the Company acts as the agent for the sale of new equipment, resulting in the new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sales revenue being presented net of new equipment cost of revenues in the equipment sales revenue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accompanying condensed consolidated statements of operations. Otherwise, the Company presents new and used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sales on a gross basis within equipment sales revenue and the related equipment sales cost of revenues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accompanying condensed consolidated statements of operations. As described above, the Company sells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assets to other parties and may allow the purchaser of the equipment to place the equipment asset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 Program to be rented to the Company’s customers. Sales and other tax amounts collected from customers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remitted to government authorities are accounted for on a net basis and excluded from revenue.</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Service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Service revenue is primarily comprised of (i) warranty services and (ii) maintenance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other miscellaneous services. Warranty services revenue represents compensation for the service work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has performed on behalf of the OEM in order to fulfill the warranty extended by the OEM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 Warranty revenue and the related receivable are short-term in nature and revenue is recognized at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point in time when the repair service has been provided by the Company. The Company acts as the principal in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and, therefore, warranty revenue earned and warranty expense incurred are presented on a gross basis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within revenues and cost of revenues in the accompanying condensed consolidated statements of operations.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Maintenance services and other miscellaneous services revenue represents compensation for maintenance work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has performed for customers and is recognized at the point in time when the services are performed,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certain OWN Program arrangements, the Company has a stand-ready performance obligation to provide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maintenance services and revenue is recognized over the contract service period.</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Telematics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Telematics revenue includes (i) the sale of subscriptions to the Company’s telematics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services, which are recognized on a straight-line basis over the period corresponding to the telematics subscriptions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are sold separately to customers; (ii) as an allocation of the transaction consideration from equipment rentals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non-lease component of the rental arrangements, which is recognized on a straight-line basis over time based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monthly period for equipment rentals; or (iii) the sale of custom electronic components, including telematics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tracker devices and cloud-based access control keypads.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Other revenue</w:t>
      </w:r>
      <w:r>
        <w:rPr>
          <w:rFonts w:ascii="Times New Roman;serif" w:hAnsi="Times New Roman;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Other platform revenue includes sales of building materials and hardware supplies, which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recognized at a point in time when the products are purchased and picked up by the customer from one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store locations.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Contract assets and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does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have material contract assets or material contract liabilities associated with contracts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 customers. The Company’s contracts with customers do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result in material amounts billed to customers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excess of recognizable revenue. The Company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recognize material revenues during the three and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or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that were contract liabilities at the beginning of such periods.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26</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13.INCOME 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tax expense was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for the three months ended June 30, 2026, and the income tax benefit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The income tax benefit was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three and six months ended June 30, 2025, respectively. Although the Company incurred a loss for the six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months ended June 30, 2026, it anticipates generating taxable income for the full fiscal year. The effective tax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period differed from the statutory rate primarily due to the impact of the Section 162(m) limitation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annual effective tax rate applied to the year-to-date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14.RELATED PARTY TRANSACTIONS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Company discloses material related party transactions, balances, and relationships in accordance with</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ASC 850, </w:t>
      </w:r>
      <w:r>
        <w:rPr>
          <w:rFonts w:ascii="Times New Roman;serif" w:hAnsi="Times New Roman;serif"/>
          <w:b w:val="false"/>
          <w:i/>
          <w:strike w:val="false"/>
          <w:dstrike w:val="false"/>
          <w:sz w:val="20"/>
          <w:u w:val="none"/>
          <w:effect w:val="none"/>
          <w:shd w:fill="FFFFFF" w:val="clear"/>
        </w:rPr>
        <w:t>Related Party Disclosures</w:t>
      </w:r>
      <w:r>
        <w:rPr>
          <w:rFonts w:ascii="Times New Roman;serif" w:hAnsi="Times New Roman;serif"/>
          <w:b w:val="false"/>
          <w:i w:val="false"/>
          <w:caps w:val="false"/>
          <w:smallCaps w:val="false"/>
          <w:strike w:val="false"/>
          <w:dstrike w:val="false"/>
          <w:sz w:val="20"/>
          <w:u w:val="none"/>
          <w:effect w:val="none"/>
          <w:shd w:fill="FFFFFF" w:val="clear"/>
        </w:rPr>
        <w:t>. Management evaluates all related party transactions for proper accounting,</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disclosure, and potential conflicts of interest.</w:t>
      </w:r>
    </w:p>
    <w:p>
      <w:pPr>
        <w:pStyle w:val="TextBody"/>
        <w:bidi w:val="0"/>
        <w:spacing w:lineRule="atLeast" w:line="200" w:before="0" w:after="0"/>
        <w:jc w:val="both"/>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Transactions with Investee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has a 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ownership interest in 10G LLC (“10G”), a joint venture that designs, develops,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engineers, tests and distributes electronic components and warehouses and sells electronic systems and products.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joint venture arrangement is accounted for under the equity method. For the three and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the Company recognized revenue from sales to 10G of $9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$17 million,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is included in telematics platform revenue on the condensed consolidated statements of operations.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December 31, 2025, the Company had amounts due from 10G of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which are included in accounts receivable on the condensed consolidated balance sheets, and amounts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owed to 10G of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$0.2 million, respectively, which are included in accounts payable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The Company ho</w:t>
      </w:r>
      <w:r>
        <w:rPr>
          <w:rFonts w:ascii="Times New Roman;serif" w:hAnsi="Times New Roman;serif"/>
          <w:b w:val="false"/>
          <w:i w:val="false"/>
          <w:caps w:val="false"/>
          <w:smallCaps w:val="false"/>
          <w:strike w:val="false"/>
          <w:dstrike w:val="false"/>
          <w:sz w:val="20"/>
          <w:u w:val="none"/>
          <w:effect w:val="none"/>
        </w:rPr>
        <w:t>lds a 26.95%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noncontrolling interest in Powers Group, Inc. (“Powers”), a third-party insurance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agency that provides customers with a range of personal and business insurance policies and related services.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purchases insurance coverage through a wholly owned subsidiary of Powers, acting as an agent.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three and six months ended June 30, 2026, the Company purchased insurance policies through this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investee and recognized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insurance expense in selling, general and administrative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expenses on the condensed consolidated statements of operations, respectively. For the three and six months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2025, the Company purchased insurance policies through this equity method investee and recognized $2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insurance expense in selling, general and administrative expenses on the condensed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operations, respectively. At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trike w:val="false"/>
          <w:dstrike w:val="false"/>
          <w:sz w:val="20"/>
          <w:u w:val="none"/>
          <w:effect w:val="none"/>
          <w:shd w:fill="FFFFFF" w:val="clear"/>
        </w:rPr>
        <w:t>, the Compan</w:t>
      </w:r>
      <w:r>
        <w:rPr>
          <w:rFonts w:ascii="Times New Roman;serif" w:hAnsi="Times New Roman;serif"/>
          <w:b w:val="false"/>
          <w:i w:val="false"/>
          <w:caps w:val="false"/>
          <w:smallCaps w:val="false"/>
          <w:strike w:val="false"/>
          <w:dstrike w:val="false"/>
          <w:sz w:val="20"/>
          <w:u w:val="none"/>
          <w:effect w:val="none"/>
        </w:rPr>
        <w:t xml:space="preserve">y had $3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prepaid insurance related to these policies, respectively, which are included in prepaid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costs on the condensed 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Prior to September 19, 2025, the Company purchased telematics tracker devices from an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investee, The Morey Corporation (“Morey”), totaling approximately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 ended June 30, 2025, respectively. Design and development services paid to Morey were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months ended June 30, 2025, respectively, and included in selling, general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administrative expenses on the condensed consolidated statements of operations. On September 19, 2025,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entered into a stock purchase agreement to acquire 50.1%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common stock of Morey, increasing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ownership interest from 49.9%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100%. The transaction resulted in Morey becoming a wholly-owned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subsidiary of the Company.</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Transactions with Entities Owned or Controlled by </w:t>
      </w:r>
      <w:r>
        <w:rPr>
          <w:rFonts w:ascii="Times New Roman;serif" w:hAnsi="Times New Roman;serif"/>
          <w:b w:val="false"/>
          <w:i/>
          <w:strike w:val="false"/>
          <w:dstrike w:val="false"/>
          <w:sz w:val="20"/>
          <w:u w:val="none"/>
          <w:effect w:val="none"/>
          <w:shd w:fill="FFFFFF" w:val="clear"/>
        </w:rPr>
        <w:t>the Founders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Company periodically enters into transactions with entities that are either owned or controlled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Company’s Chief Executive Officer or President (the “Founders”).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27</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Revenues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recognized the following revenues from transactions with entities owned or controlled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Founders: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Company recognized approximately $0.2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months ended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of equipment rental and related services revenues. The Company recognized equipment rental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related services revenue of approximately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approximately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three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six months ended June 30, 2025, respectively.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During the three and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Company recognized equipment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sales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$113 million, respectively. A portion of the equipment sales for the three and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2025, were agent OEM transactions and the related cost of the equipment sold of zero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$42 million, respectively, is presented net of the associated equipment sales revenues for these periods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condensed consolidated statements of operations. The equipment sold was subsequently listed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marketplace under the OWN Program. There were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such transactions during the three and six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 ended June 30, 2026.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Company recognized equipment parts and supplies revenue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three and six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months ended June 30, 2026. During the three and six months ended June 30, 2025, the Company recorded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parts and supplies revenue of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Company recognized T3 telematics services revenue of less than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three and 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relating to equipment enrolled under the OWN Program. During the three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six months ended June 30, 2025, the Company recorded T3 telematics services revenue of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respectively, relating to equipment enrolled under the OWN Program.</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During the three and six months ended June 30, 2026, the Company recognized $0.3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respectively, and during the three and six months ended June 30, 2025, the Company recognized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$0.3 million, respectively, in sales of building materials and hardware supplies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Founders, which are included in other platform revenues on the condensed consolidated statements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OWN Program payouts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OWN Program payouts to entities owned or controlled by the Founders were $0.5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three and six months ended June 30, 2026, respectively, and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months ended June 30, 2025, respectively. These amounts are included in cost of revenues on the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operations.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 June 30, 2026, there was approximately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included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accrued expenses for amounts due under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OWN Program to entities owned or controlled by the Founders. At December 31, 2025,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amounts were included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accrued expenses for amounts due under the OWN Program to entities owned or controlled by the Founders.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Assignment of property site purchase rights and construction developer fees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 and six months ended June 30, 2026, the Company recognized $0.7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approximately $2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respectively, of other miscellaneous income for the assignment of new property site purchase rights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transaction services, and for the three and six months ended June 30, 2025, the Company recognized $0.6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 million, respectively. These amounts are included in other income, net on the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 of operations.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 and six months ended June 30, 2026, the Company recognized approximately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respectively, for construction developer fees and interest provided to entities owned or controlled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Founders. These amounts are included in other income, net on the condensed consolidated statements of operations,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for the three and six months ended June 30, 2025, the Company recognized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28</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These amounts are included in other income, net on the condensed consolidated statements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operations.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Accounts receivable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June 30, 2026 and December 31, 2025, the Company had receivables due from entities owned or controlled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the Founders primarily related to property development costs and the transactions described above,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amounts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$19 million, respectively, which are included in accounts receivable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the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Leases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leases or has leased certain properties, facilities, vehicles, and aircraft for its operations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lease arrangements with entities owned or controlled by the Founders. Lease expenses associated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various operating lease arrangements with entities owned or controlled by the Founders were $0.3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and six months ended June 30, 2026, respectively, and were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three and six months ended June 30, 2025, respectively, which are included in direct operating costs or selling,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 and administrative expenses on the condensed consolidated statements of operations. At June 30, 2026,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had operating lease right of use assets and operating lease liabilities under lease arrangements with entities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owned or controlled by the Founders of $9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$9 million, respectively. At December 31, 2025,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had operating lease right of use assets and operating lease liabilities under lease arrangements with entities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owned or controlled by the Founders of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recognized variable lease expense, short-term rental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other miscellaneous expenses,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are included in direct operating costs or selling, general and administrative expenses on the condensed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 of operations, of $0.8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respectively, and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and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primarily relating to certain leases and short-term rentals from entities owned or controlled by the Founders.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 the Company made payments of $0.8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property finance lease arrangements with entities owned or controlled by the Founders,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2025, the Company made payments of less than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property finance lease arrangements with entities owned or controlled by the Founders,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At June 30, 2026 and December 31, 2025, the Company had finance lease liabilities under finance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arrangements with entities owned or controlled by the Founders of $31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$29 million, respectively.</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Purchases of rental equipment, parts, supplies and other</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2025, the Company purchased $21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$22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of equipment previously enrolled in the OWN Program from entities owned or controlled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Founders. The equipment purchased was added to the Company’s rental fleet, and is included in rental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on the condensed consolidated balance sheets. During the three and six months ended June 30, 2026, there were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purchases of equipment previously enrolled in the OWN Program from entities owned or controlled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Founders.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also purchased containers and vehicles for approximately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three and 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 ended June 30, 2025, respectively, and other miscellaneous equipment, parts and supplies for $0.2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2025, respectively,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an entity owned or controlled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Founders. The containers and vehicles purchased were added to the Company’s rental equipment and are included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rental equipment, net on the consolidated balance sheets.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Purchases of property and other fixed assets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 there were less than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construction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provided to the Company by entities owned or controlled by the Founders. During the three and six months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2025, entities owned or controlled by the Founders provided construction services to the Company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29</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amounts of less than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 million, respectively, which were capitalized to property and other fixed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Accounts payable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June 30, 2026 and December 31 2025, amounts due to entities owned or controlled by the Founders were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$0.2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$0.1 million, respectively, which are included in accounts payable on the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balance sheets.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Cash equivalents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six months ended June 30, 2025, the Company deposited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into a money market account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financial institution in which the Founders have an ownership interest. As of June 30, 2026 and 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the Company had an aggregate of $21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deposit in a money market account with this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institution, which is included in cash and cash equivalents on the condensed consolidated balance sheets.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 and six months ended June 30, 2026, the funds on deposit earned interest income of $0.2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$0.4 million, respectively, and for the three and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funds on deposit earned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interest income of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$0.2 million, respectively, which is included in other income, net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condensed consolidated statements of 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does not provide any financial support or guarantee any debt of the related party entities involved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transactions described above.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30</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15.FAIR VALUE MEASUREMENTS AND OTHER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measurements relating to cash equivalents and short-term investments (included in other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assets) are categorized in the fair value hierarchy as follows (in millions):</w:t>
      </w:r>
    </w:p>
    <w:tbl>
      <w:tblPr>
        <w:tblW w:w="6977" w:type="dxa"/>
        <w:jc w:val="left"/>
        <w:tblInd w:w="0" w:type="dxa"/>
        <w:tblLayout w:type="fixed"/>
        <w:tblCellMar>
          <w:top w:w="28" w:type="dxa"/>
          <w:left w:w="28" w:type="dxa"/>
          <w:bottom w:w="28" w:type="dxa"/>
          <w:right w:w="28" w:type="dxa"/>
        </w:tblCellMar>
      </w:tblPr>
      <w:tblGrid>
        <w:gridCol w:w="4186"/>
        <w:gridCol w:w="631"/>
        <w:gridCol w:w="109"/>
        <w:gridCol w:w="631"/>
        <w:gridCol w:w="109"/>
        <w:gridCol w:w="631"/>
        <w:gridCol w:w="109"/>
        <w:gridCol w:w="571"/>
      </w:tblGrid>
      <w:tr>
        <w:trPr/>
        <w:tc>
          <w:tcPr>
            <w:tcW w:w="41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279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r>
      <w:tr>
        <w:trPr/>
        <w:tc>
          <w:tcPr>
            <w:tcW w:w="4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Short-term investments:</w:t>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Mutual funds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41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Common stocks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41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Corporate bonds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U.S. government bonds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41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Real estate investment trust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r>
    </w:tbl>
    <w:tbl>
      <w:tblPr>
        <w:tblW w:w="6977" w:type="dxa"/>
        <w:jc w:val="left"/>
        <w:tblInd w:w="0" w:type="dxa"/>
        <w:tblLayout w:type="fixed"/>
        <w:tblCellMar>
          <w:top w:w="28" w:type="dxa"/>
          <w:left w:w="28" w:type="dxa"/>
          <w:bottom w:w="28" w:type="dxa"/>
          <w:right w:w="28" w:type="dxa"/>
        </w:tblCellMar>
      </w:tblPr>
      <w:tblGrid>
        <w:gridCol w:w="4186"/>
        <w:gridCol w:w="631"/>
        <w:gridCol w:w="109"/>
        <w:gridCol w:w="631"/>
        <w:gridCol w:w="109"/>
        <w:gridCol w:w="631"/>
        <w:gridCol w:w="109"/>
        <w:gridCol w:w="571"/>
      </w:tblGrid>
      <w:tr>
        <w:trPr/>
        <w:tc>
          <w:tcPr>
            <w:tcW w:w="41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sz w:val="4"/>
                <w:szCs w:val="4"/>
              </w:rPr>
            </w:pPr>
            <w:r>
              <w:rPr>
                <w:sz w:val="4"/>
                <w:szCs w:val="4"/>
              </w:rPr>
            </w:r>
          </w:p>
        </w:tc>
        <w:tc>
          <w:tcPr>
            <w:tcW w:w="279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r>
      <w:tr>
        <w:trPr/>
        <w:tc>
          <w:tcPr>
            <w:tcW w:w="4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Short-term investments:</w:t>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Mutual funds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41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Common stocks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41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Corporate bonds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U.S. government bonds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41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Real estate investment trust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41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carrying amounts presented on the condensed consolidated balance sheets for accounts receivable, accounts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payable, and other liabilities approximate their fair values due to the short-term maturity of these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fair values of long-term debt, excluding the Company’s senior secured second lien notes, approximate their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book val</w:t>
      </w:r>
      <w:r>
        <w:rPr>
          <w:rFonts w:ascii="Times New Roman;serif" w:hAnsi="Times New Roman;serif"/>
          <w:b w:val="false"/>
          <w:i w:val="false"/>
          <w:caps w:val="false"/>
          <w:smallCaps w:val="false"/>
          <w:strike w:val="false"/>
          <w:dstrike w:val="false"/>
          <w:sz w:val="20"/>
          <w:u w:val="none"/>
          <w:effect w:val="none"/>
        </w:rPr>
        <w:t>ues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The aggregate fair value of the Company’s senior secured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second lien notes which are categorized in Level 2 of the fair value hierarchy, is estimated based on observable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inputs other than quoted prices in active markets and approximat</w:t>
      </w:r>
      <w:r>
        <w:rPr>
          <w:rFonts w:ascii="Times New Roman;serif" w:hAnsi="Times New Roman;serif"/>
          <w:b w:val="false"/>
          <w:i w:val="false"/>
          <w:caps w:val="false"/>
          <w:smallCaps w:val="false"/>
          <w:strike w:val="false"/>
          <w:dstrike w:val="false"/>
          <w:sz w:val="20"/>
          <w:u w:val="none"/>
          <w:effect w:val="none"/>
          <w:shd w:fill="FFFFFF" w:val="clear"/>
        </w:rPr>
        <w:t xml:space="preserve">ed </w:t>
      </w:r>
      <w:r>
        <w:rPr>
          <w:rFonts w:ascii="Times New Roman;serif" w:hAnsi="Times New Roman;serif"/>
          <w:b w:val="false"/>
          <w:i w:val="false"/>
          <w:caps w:val="false"/>
          <w:smallCaps w:val="false"/>
          <w:strike w:val="false"/>
          <w:dstrike w:val="false"/>
          <w:sz w:val="20"/>
          <w:u w:val="none"/>
          <w:effect w:val="none"/>
        </w:rPr>
        <w:t>$2,195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rPr>
        <w:t>and $2,237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December 31, 2025,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Investments in equity securities in which the Company does not have significant influence of $32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respectively, are carried at cost under the measurement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alternative for equity investments that do not have readily determinable fair values. Investments in equity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in which the Company has significant influence, but not contro</w:t>
      </w:r>
      <w:r>
        <w:rPr>
          <w:rFonts w:ascii="Times New Roman;serif" w:hAnsi="Times New Roman;serif"/>
          <w:b w:val="false"/>
          <w:i w:val="false"/>
          <w:caps w:val="false"/>
          <w:smallCaps w:val="false"/>
          <w:strike w:val="false"/>
          <w:dstrike w:val="false"/>
          <w:sz w:val="20"/>
          <w:u w:val="none"/>
          <w:effect w:val="none"/>
        </w:rPr>
        <w:t>l, of $31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$30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December 31, 2025</w:t>
      </w:r>
      <w:r>
        <w:rPr>
          <w:rFonts w:ascii="Times New Roman;serif" w:hAnsi="Times New Roman;serif"/>
          <w:b w:val="false"/>
          <w:i w:val="false"/>
          <w:caps w:val="false"/>
          <w:smallCaps w:val="false"/>
          <w:strike w:val="false"/>
          <w:dstrike w:val="false"/>
          <w:sz w:val="20"/>
          <w:u w:val="none"/>
          <w:effect w:val="none"/>
          <w:shd w:fill="FFFFFF" w:val="clear"/>
        </w:rPr>
        <w:t xml:space="preserve">, respectively, are carried under the equity method. These amounts are reported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Investments in non-consolidated affiliates on the accompanying condensed consolidated balance sheets.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The Company recogniz</w:t>
      </w:r>
      <w:r>
        <w:rPr>
          <w:rFonts w:ascii="Times New Roman;serif" w:hAnsi="Times New Roman;serif"/>
          <w:b w:val="false"/>
          <w:i w:val="false"/>
          <w:caps w:val="false"/>
          <w:smallCaps w:val="false"/>
          <w:strike w:val="false"/>
          <w:dstrike w:val="false"/>
          <w:sz w:val="20"/>
          <w:u w:val="none"/>
          <w:effect w:val="none"/>
        </w:rPr>
        <w:t>ed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realized and unrealized gains on short-term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investments in non-consolidated affiliates during the three and six months ended June 30, 2026,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the Company recognized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realized and unrealized gains on short-term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31</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investments in non-consolidated affiliates during the three and six months ended June 30, 2025,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which are included in other income, net on the condensed consolidated statements of operations.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recognized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interest income from interest bearing cash and money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market accounts during the three and six months ended June 30, 2026, respectively, and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respectively, which are included in other income, net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16.ACQUISITIONS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accounts for business combinations using the acquisition method as defined in FASB ASC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Topic 805</w:t>
      </w:r>
      <w:r>
        <w:rPr>
          <w:rFonts w:ascii="Times New Roman;serif" w:hAnsi="Times New Roman;serif"/>
          <w:b w:val="false"/>
          <w:i w:val="false"/>
          <w:caps w:val="false"/>
          <w:smallCaps w:val="false"/>
          <w:strike w:val="false"/>
          <w:dstrike w:val="false"/>
          <w:sz w:val="20"/>
          <w:u w:val="none"/>
          <w:effect w:val="none"/>
          <w:shd w:fill="FFFFFF" w:val="clear"/>
        </w:rPr>
        <w:t xml:space="preserve">, </w:t>
      </w:r>
      <w:r>
        <w:rPr>
          <w:rFonts w:ascii="Times New Roman;serif" w:hAnsi="Times New Roman;serif"/>
          <w:b w:val="false"/>
          <w:i/>
          <w:strike w:val="false"/>
          <w:dstrike w:val="false"/>
          <w:sz w:val="20"/>
          <w:u w:val="none"/>
          <w:effect w:val="none"/>
          <w:shd w:fill="FFFFFF" w:val="clear"/>
        </w:rPr>
        <w:t>Business Combinations</w:t>
      </w:r>
      <w:r>
        <w:rPr>
          <w:rFonts w:ascii="Times New Roman;serif" w:hAnsi="Times New Roman;serif"/>
          <w:b w:val="false"/>
          <w:i w:val="false"/>
          <w:caps w:val="false"/>
          <w:smallCaps w:val="false"/>
          <w:strike w:val="false"/>
          <w:dstrike w:val="false"/>
          <w:sz w:val="20"/>
          <w:u w:val="none"/>
          <w:effect w:val="none"/>
          <w:shd w:fill="FFFFFF" w:val="clear"/>
        </w:rPr>
        <w:t xml:space="preserve">. Management uses its best estimates and assumptions to value the assets acquired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liabilities assumed at the acquisition date. Such estimates are inherently uncertain and may be subject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refinement. As a result, during the measurement period of up to one year from the acquisition date,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may record adjustments to the acquisition accounting, to the extent new information becomes available.</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Building Materials and Hardware Retail Stores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six months ended June 30, 2026, the Company, through its wholly owned subsidiaries, entered into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four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separate purchase agreements to acquire substantially all of the business operations of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building supplies,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lumber, and hardware retail stores for an aggregate purchase price of $4 million, of which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has been 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purchase price was preliminarily allocated to the estimated fair value of receivables,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inventories, and other assets and liabilities acquired as of their respective acquisition dates of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goodwill resulted from these transactions. Assuming the acquisition of these businesses were consummated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January 1, 2025, the pro forma effect on revenue and earnings are not material to the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Carbide Tooling and Industrial Supply, Inc.</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January 21, 2026, the Company entered into purchase agreements to acquire substantially all of the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business operations of an industrial supplier business known as Carbide Tooling and Industrial Supply, located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Waller, Texas, for an aggregate purchase price of $6 million. Approximately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purchase price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preliminarily allocated to the estimated fair value of receivables, inventories, fixed assets, and other assets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liabilities acquired, while the remainder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recorded to goodwill.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goodwill relating to this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acquisition is expected to be deductible for income tax purposes over a fifteen 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period. Assuming the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business had occurred as of January 1, 2025, the pro forma effect on revenue and earnings would not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been material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17.COMMITMENTS AND CONTINGENCIES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the Company is involved in various claims and legal actions. These matters include, but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limited to, claims arising from the operation of rented equipment, workers' compensation claims, and alleged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breaches of obligations of certain employees to former employers. Management believes that such claims and legal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actions taken against the Company are without merit and the Company intends to vigorously defend itself in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cases. Management is of the opinion that the ultimate resolution of any ongoing litigation and related matters,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individually or in the aggregate, will not have a material adverse effect on the Company’s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position, results of operations, or cash flows.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23, 2026, a putative securities class action was filed in the U.S. District Court for the Southern District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New York against the Company, certain of its current and former officers and directors, and the underwriters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IPO. The complaint asserts claims under Sections 11 and 15 of the Securities Act and Sections 10(b)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20(a) of the Exchange Act and Rule 10b-5 promulgated thereunder. The complaint generally alleges that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Company's public disclosures, including disclosures contained in the registration statement for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IPO and subsequent public statements, were materially false or misleading or omitted material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concerning certain related-party transactions and related matters. The complaint seeks, among other relief,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compensatory damages, interest, attorneys' fees and costs, and other unspecified relief. The Company believes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32</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claims are without merit and intends to defend against the action vigorously. This litigation is in its preliminary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stages, and no defendant has yet filed a responsive pleading. Because the matter is at an early stage,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cannot reasonably estimate a possible loss or range of loss, if any, associated with this proceeding.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18.SEGMENT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has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reportable segments: (1) Equipment Rental and Services Operations, and (2)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Equipment Rental and Services Operations are comprised of recurring activity performed at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full-service branch locations, such as equipment rentals and related services (including allocated telematics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rental customer access to the T3 platform), and sales of parts, supplies and maintenance services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contractors and others. Equipment Sales are comprised of sales by the Company of new or used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made at any of the Company's branch locations and dealership sites, including equipment sales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participants in the OWN Program. All other business activities, which include telematics SaaS subscriptions,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software applications, and related telematics devices purchased by customers for their owned fleet,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building materials and hardware supplies, are included in “All Other.” The Company generates all of its revenue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U.S. and all long-lived assets are located in the U.S.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segments are based upon revenue streams and how the chief operating decision maker (“CODM”)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allocates resources and assesses performance. The Company’s Chief Executive Officer is the CODM.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CODM uses Segment Adjusted EBITDA to make resource allocation decisions and to assess the performance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segments. The CODM uses Segment Adjusted EBITDA to evaluate segment performance without regard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potential distortions and to assess period-over-period growth. Excluding OWN Program payouts and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lease expense from Equipment Rental and Services Operations Segment Adjusted EBITDA provides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CODM with a more meaningful metric to compare operating performance to industry peers who do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source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fleet through lease arrangements. The most significant decisions made by the CODM relate to site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expansion, capital deployment, and employee hiring, among other things.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expenses regularly provided to the CODM and reported in Segment Adjusted EBITDA include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cost of revenues and segment selling, general, and administrative expenses. Segment cost of revenues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Equipment Rental and Services Operations segment includes direct operating costs, excluding equipment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vehicle operating lease expense. Segment cost of revenues for the Equipment Sales segment includes the cost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sales. Segment cost of revenues for All Other business activities includes platform expenses. Segment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Adjusted EBITDA also excludes operating expenses related to OWN Program payouts, depreciation expense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equipment, and amortization expense on capitalized software. Segment selling, general and administrative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expenses exclude depreciation expense related to the Company’s property and other fixed assets, and during the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quarter of 2026, on a prospective basis, segment selling, general and administrative expenses exclude stock-based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compensation expense, following a change in the information regularly reviewed by the CODM. There are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segment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accounting policies of the reportable segments are consistent with those described in Note 2. Summary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Accounting Policies in the Company’s Audited Consolidated Financial Statements as of and for the year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ended December 31, 2025. Certain corporate selling, general and administrative expenses, including corporate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employee compensation, technology costs, professional service fees, and insurance expenses are deemed to be of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operating nature and are allocated to each segment based primarily on segment employee headcount. 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or transactions between segments for any of the periods presented. The Company retains various unattributed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at the general corporate level, which the Company refers to as “Shared Resources” in the table below.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identified as Shared Resources primarily consist of cash, investments, property and other fixed assets and property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right of use assets. All other costs and assets are directly attributable to the segments. The Company does not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compile discrete financial information for segments other than the information presented below.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33</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information about reportable segments (in millions):</w:t>
      </w:r>
    </w:p>
    <w:tbl>
      <w:tblPr>
        <w:tblW w:w="8687" w:type="dxa"/>
        <w:jc w:val="left"/>
        <w:tblInd w:w="0" w:type="dxa"/>
        <w:tblLayout w:type="fixed"/>
        <w:tblCellMar>
          <w:top w:w="28" w:type="dxa"/>
          <w:left w:w="28" w:type="dxa"/>
          <w:bottom w:w="28" w:type="dxa"/>
          <w:right w:w="28" w:type="dxa"/>
        </w:tblCellMar>
      </w:tblPr>
      <w:tblGrid>
        <w:gridCol w:w="4546"/>
        <w:gridCol w:w="1411"/>
        <w:gridCol w:w="109"/>
        <w:gridCol w:w="886"/>
        <w:gridCol w:w="109"/>
        <w:gridCol w:w="796"/>
        <w:gridCol w:w="109"/>
        <w:gridCol w:w="721"/>
      </w:tblGrid>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414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 2026</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 Rental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Services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$903</w:t>
            </w:r>
          </w:p>
        </w:tc>
      </w:tr>
      <w:tr>
        <w:trPr/>
        <w:tc>
          <w:tcPr>
            <w:tcW w:w="4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 building materials, small tools, and hardware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$1,449</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Significant expenses:</w:t>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Segment cost of revenues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Segment 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w:t>
            </w:r>
          </w:p>
        </w:tc>
      </w:tr>
    </w:tbl>
    <w:tbl>
      <w:tblPr>
        <w:tblW w:w="8687" w:type="dxa"/>
        <w:jc w:val="left"/>
        <w:tblInd w:w="0" w:type="dxa"/>
        <w:tblLayout w:type="fixed"/>
        <w:tblCellMar>
          <w:top w:w="28" w:type="dxa"/>
          <w:left w:w="28" w:type="dxa"/>
          <w:bottom w:w="28" w:type="dxa"/>
          <w:right w:w="28" w:type="dxa"/>
        </w:tblCellMar>
      </w:tblPr>
      <w:tblGrid>
        <w:gridCol w:w="4546"/>
        <w:gridCol w:w="1411"/>
        <w:gridCol w:w="109"/>
        <w:gridCol w:w="886"/>
        <w:gridCol w:w="109"/>
        <w:gridCol w:w="796"/>
        <w:gridCol w:w="109"/>
        <w:gridCol w:w="721"/>
      </w:tblGrid>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414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 2025</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 Rental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Services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w:t>
            </w:r>
          </w:p>
        </w:tc>
      </w:tr>
      <w:tr>
        <w:trPr/>
        <w:tc>
          <w:tcPr>
            <w:tcW w:w="4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 building materials, small tools, and hardware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$1,147</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Significant expenses:</w:t>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Segment cost of revenues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Segment 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34</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tbl>
      <w:tblPr>
        <w:tblW w:w="8687" w:type="dxa"/>
        <w:jc w:val="left"/>
        <w:tblInd w:w="0" w:type="dxa"/>
        <w:tblLayout w:type="fixed"/>
        <w:tblCellMar>
          <w:top w:w="28" w:type="dxa"/>
          <w:left w:w="28" w:type="dxa"/>
          <w:bottom w:w="28" w:type="dxa"/>
          <w:right w:w="28" w:type="dxa"/>
        </w:tblCellMar>
      </w:tblPr>
      <w:tblGrid>
        <w:gridCol w:w="4546"/>
        <w:gridCol w:w="1411"/>
        <w:gridCol w:w="109"/>
        <w:gridCol w:w="886"/>
        <w:gridCol w:w="109"/>
        <w:gridCol w:w="796"/>
        <w:gridCol w:w="109"/>
        <w:gridCol w:w="721"/>
      </w:tblGrid>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414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 2026</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 Rental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Services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$1,663</w:t>
            </w:r>
          </w:p>
        </w:tc>
      </w:tr>
      <w:tr>
        <w:trPr/>
        <w:tc>
          <w:tcPr>
            <w:tcW w:w="4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 building materials, small tools, and hardware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$2,437</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Significant expenses:</w:t>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Segment cost of revenues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Segment 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$818</w:t>
            </w:r>
          </w:p>
        </w:tc>
      </w:tr>
    </w:tbl>
    <w:tbl>
      <w:tblPr>
        <w:tblW w:w="8687" w:type="dxa"/>
        <w:jc w:val="left"/>
        <w:tblInd w:w="0" w:type="dxa"/>
        <w:tblLayout w:type="fixed"/>
        <w:tblCellMar>
          <w:top w:w="28" w:type="dxa"/>
          <w:left w:w="28" w:type="dxa"/>
          <w:bottom w:w="28" w:type="dxa"/>
          <w:right w:w="28" w:type="dxa"/>
        </w:tblCellMar>
      </w:tblPr>
      <w:tblGrid>
        <w:gridCol w:w="4546"/>
        <w:gridCol w:w="1411"/>
        <w:gridCol w:w="109"/>
        <w:gridCol w:w="886"/>
        <w:gridCol w:w="109"/>
        <w:gridCol w:w="796"/>
        <w:gridCol w:w="109"/>
        <w:gridCol w:w="721"/>
      </w:tblGrid>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414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 2025</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 Rental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Services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w:t>
            </w:r>
          </w:p>
        </w:tc>
      </w:tr>
      <w:tr>
        <w:trPr/>
        <w:tc>
          <w:tcPr>
            <w:tcW w:w="4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 building materials, small tools, and hardware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$1,864</w:t>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Significant expenses:</w:t>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Segment cost of revenues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Segment 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35</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reconciles total Segment Adjusted EBITDA to income before income taxes (in millions):</w:t>
      </w:r>
    </w:p>
    <w:tbl>
      <w:tblPr>
        <w:tblW w:w="8510" w:type="dxa"/>
        <w:jc w:val="left"/>
        <w:tblInd w:w="0" w:type="dxa"/>
        <w:tblLayout w:type="fixed"/>
        <w:tblCellMar>
          <w:top w:w="28" w:type="dxa"/>
          <w:left w:w="28" w:type="dxa"/>
          <w:bottom w:w="28" w:type="dxa"/>
          <w:right w:w="28" w:type="dxa"/>
        </w:tblCellMar>
      </w:tblPr>
      <w:tblGrid>
        <w:gridCol w:w="4021"/>
        <w:gridCol w:w="1029"/>
        <w:gridCol w:w="207"/>
        <w:gridCol w:w="1029"/>
        <w:gridCol w:w="109"/>
        <w:gridCol w:w="926"/>
        <w:gridCol w:w="186"/>
        <w:gridCol w:w="1003"/>
      </w:tblGrid>
      <w:tr>
        <w:trPr/>
        <w:tc>
          <w:tcPr>
            <w:tcW w:w="40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jc w:val="left"/>
              <w:rPr>
                <w:sz w:val="4"/>
                <w:szCs w:val="4"/>
              </w:rPr>
            </w:pPr>
            <w:r>
              <w:rPr>
                <w:sz w:val="4"/>
                <w:szCs w:val="4"/>
              </w:rPr>
            </w:r>
          </w:p>
        </w:tc>
        <w:tc>
          <w:tcPr>
            <w:tcW w:w="226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Segment Adjusted EBITDA</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$818</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$560</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operating lease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OWN Program payouts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(234)</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02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(451)</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(328)</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Depreciation expense on 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w:t>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Depreciation expense on property and other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02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r>
      <w:tr>
        <w:trPr/>
        <w:tc>
          <w:tcPr>
            <w:tcW w:w="40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Amortization expense on capitalized software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and intangible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029"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102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income,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(loss) before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information about identified assets by reportable segment (in millions):</w:t>
      </w:r>
    </w:p>
    <w:tbl>
      <w:tblPr>
        <w:tblW w:w="8407" w:type="dxa"/>
        <w:jc w:val="left"/>
        <w:tblInd w:w="0" w:type="dxa"/>
        <w:tblLayout w:type="fixed"/>
        <w:tblCellMar>
          <w:top w:w="28" w:type="dxa"/>
          <w:left w:w="28" w:type="dxa"/>
          <w:bottom w:w="28" w:type="dxa"/>
          <w:right w:w="28" w:type="dxa"/>
        </w:tblCellMar>
      </w:tblPr>
      <w:tblGrid>
        <w:gridCol w:w="5251"/>
        <w:gridCol w:w="1276"/>
        <w:gridCol w:w="109"/>
        <w:gridCol w:w="1771"/>
      </w:tblGrid>
      <w:tr>
        <w:trPr/>
        <w:tc>
          <w:tcPr>
            <w:tcW w:w="52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r>
      <w:tr>
        <w:trPr/>
        <w:tc>
          <w:tcPr>
            <w:tcW w:w="52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Segment identified assets:</w:t>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Rental and Service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$3,948</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All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Shared Resources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1,605</w:t>
            </w:r>
          </w:p>
        </w:tc>
      </w:tr>
      <w:tr>
        <w:trPr/>
        <w:tc>
          <w:tcPr>
            <w:tcW w:w="525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7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$7,111</w:t>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information about cash flows from investing activities by reportable segment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millions):</w:t>
      </w:r>
    </w:p>
    <w:tbl>
      <w:tblPr>
        <w:tblW w:w="7382" w:type="dxa"/>
        <w:jc w:val="left"/>
        <w:tblInd w:w="0" w:type="dxa"/>
        <w:tblLayout w:type="fixed"/>
        <w:tblCellMar>
          <w:top w:w="28" w:type="dxa"/>
          <w:left w:w="28" w:type="dxa"/>
          <w:bottom w:w="28" w:type="dxa"/>
          <w:right w:w="28" w:type="dxa"/>
        </w:tblCellMar>
      </w:tblPr>
      <w:tblGrid>
        <w:gridCol w:w="3406"/>
        <w:gridCol w:w="916"/>
        <w:gridCol w:w="109"/>
        <w:gridCol w:w="886"/>
        <w:gridCol w:w="109"/>
        <w:gridCol w:w="916"/>
        <w:gridCol w:w="109"/>
        <w:gridCol w:w="931"/>
      </w:tblGrid>
      <w:tr>
        <w:trPr/>
        <w:tc>
          <w:tcPr>
            <w:tcW w:w="34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sz w:val="4"/>
                <w:szCs w:val="4"/>
              </w:rPr>
            </w:pPr>
            <w:r>
              <w:rPr>
                <w:sz w:val="4"/>
                <w:szCs w:val="4"/>
              </w:rPr>
            </w:r>
          </w:p>
        </w:tc>
        <w:tc>
          <w:tcPr>
            <w:tcW w:w="191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95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Rental and</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Rental and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w:t>
            </w:r>
          </w:p>
        </w:tc>
      </w:tr>
      <w:tr>
        <w:trPr/>
        <w:tc>
          <w:tcPr>
            <w:tcW w:w="34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flows from investing activities:</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Purchases of 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4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Proceeds from sale of 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19.EARNINGS PER SHARE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Basic earnings per share is calculated using the two-class method as the Company’s convertible preferred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is considered a participating security because these shares participate in dividends on an as-converted basis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common stock, and for the </w:t>
      </w:r>
      <w:r>
        <w:rPr>
          <w:rFonts w:ascii="Times New Roman;serif" w:hAnsi="Times New Roman;serif"/>
          <w:b w:val="false"/>
          <w:i w:val="false"/>
          <w:caps w:val="false"/>
          <w:smallCaps w:val="false"/>
          <w:strike w:val="false"/>
          <w:dstrike w:val="false"/>
          <w:sz w:val="20"/>
          <w:u w:val="none"/>
          <w:effect w:val="none"/>
        </w:rPr>
        <w:t>three and six months ended June 30, 2026</w:t>
      </w:r>
      <w:r>
        <w:rPr>
          <w:rFonts w:ascii="Times New Roman;serif" w:hAnsi="Times New Roman;serif"/>
          <w:b w:val="false"/>
          <w:i w:val="false"/>
          <w:caps w:val="false"/>
          <w:smallCaps w:val="false"/>
          <w:strike w:val="false"/>
          <w:dstrike w:val="false"/>
          <w:sz w:val="20"/>
          <w:u w:val="none"/>
          <w:effect w:val="none"/>
          <w:shd w:fill="FFFFFF" w:val="clear"/>
        </w:rPr>
        <w:t xml:space="preserve">, the Company has two classes of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stock, which are referred to as Class A common stock and Class B common stock. On January 26, 2026, concurrent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with the IPO, all outstanding shares of the Company’s convertible preferred stock were converted into Class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common stock and all shares of Class A common stock then held by the Founders were exchanged into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equivalent number of shares of Class B common stock. Income and losses are shared pro-rata between the two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classes of common stock. The two-class method requires an allocation of earnings to all classes of common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participating securities. Basic earnings per share is calculated by dividing net income (loss) attributable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36</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common shareholders by the weighted average number of common shares outstanding for the period.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participating securities are not</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required to participate in the losses of the Company and, therefore, during periods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loss there is no</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allocation required under the two-class method between common and participating securities.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Company calculated diluted earnings per share using the more dilutive of either the two-class, if-converted method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or the treasury stock method. For the three months ended June 30, 2026, the treasury stock method diluted earnings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per share yielded Class A common stock </w:t>
      </w:r>
      <w:r>
        <w:rPr>
          <w:rFonts w:ascii="Times New Roman;serif" w:hAnsi="Times New Roman;serif"/>
          <w:b w:val="false"/>
          <w:i w:val="false"/>
          <w:caps w:val="false"/>
          <w:smallCaps w:val="false"/>
          <w:strike w:val="false"/>
          <w:dstrike w:val="false"/>
          <w:sz w:val="20"/>
          <w:u w:val="none"/>
          <w:effect w:val="none"/>
        </w:rPr>
        <w:t>$0.06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share</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Class B common stock $0.07</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per share. For the three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months ended June 30, 2025, the treasury stock method diluted earnings per share of common stock yielded </w:t>
      </w:r>
      <w:r>
        <w:rPr>
          <w:rFonts w:ascii="Times New Roman;serif" w:hAnsi="Times New Roman;serif"/>
          <w:b w:val="false"/>
          <w:i w:val="false"/>
          <w:caps w:val="false"/>
          <w:smallCaps w:val="false"/>
          <w:strike w:val="false"/>
          <w:dstrike w:val="false"/>
          <w:sz w:val="20"/>
          <w:u w:val="none"/>
          <w:effect w:val="none"/>
        </w:rPr>
        <w:t>$0.06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per share. For the periods presented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the two-class, if-converted method and the treasury stock method yielded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same result. Diluted earnings per common share is computed by dividing net (loss) income attributable to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shareholders by the weighted average number of common shares plus the effect of dilutive potential common shares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outstanding during the period.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The following tables set forth the computation of basic and diluted earnings per common share (in millions):</w:t>
      </w:r>
    </w:p>
    <w:tbl>
      <w:tblPr>
        <w:tblW w:w="8547" w:type="dxa"/>
        <w:jc w:val="left"/>
        <w:tblInd w:w="0" w:type="dxa"/>
        <w:tblLayout w:type="fixed"/>
        <w:tblCellMar>
          <w:top w:w="28" w:type="dxa"/>
          <w:left w:w="28" w:type="dxa"/>
          <w:bottom w:w="28" w:type="dxa"/>
          <w:right w:w="28" w:type="dxa"/>
        </w:tblCellMar>
      </w:tblPr>
      <w:tblGrid>
        <w:gridCol w:w="5416"/>
        <w:gridCol w:w="736"/>
        <w:gridCol w:w="109"/>
        <w:gridCol w:w="736"/>
        <w:gridCol w:w="109"/>
        <w:gridCol w:w="1441"/>
      </w:tblGrid>
      <w:tr>
        <w:trPr/>
        <w:tc>
          <w:tcPr>
            <w:tcW w:w="54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before="0" w:after="283"/>
              <w:jc w:val="left"/>
              <w:rPr>
                <w:sz w:val="4"/>
                <w:szCs w:val="4"/>
              </w:rPr>
            </w:pPr>
            <w:r>
              <w:rPr>
                <w:sz w:val="4"/>
                <w:szCs w:val="4"/>
              </w:rPr>
            </w:r>
          </w:p>
        </w:tc>
        <w:tc>
          <w:tcPr>
            <w:tcW w:w="313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Common Stock</w:t>
            </w:r>
          </w:p>
        </w:tc>
      </w:tr>
      <w:tr>
        <w:trPr/>
        <w:tc>
          <w:tcPr>
            <w:tcW w:w="5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earnings per common share:</w:t>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Allocation of 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54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Less: Deemed dividends on perpetual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54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attributable to common shareholders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54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Weighted average common shares outstanding - Basic</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r>
      <w:tr>
        <w:trPr/>
        <w:tc>
          <w:tcPr>
            <w:tcW w:w="54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Basic earnings per common share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$0.17</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before="0" w:after="283"/>
              <w:jc w:val="left"/>
              <w:rPr>
                <w:sz w:val="4"/>
                <w:szCs w:val="4"/>
              </w:rPr>
            </w:pPr>
            <w:r>
              <w:rPr>
                <w:sz w:val="4"/>
                <w:szCs w:val="4"/>
              </w:rPr>
            </w:r>
          </w:p>
        </w:tc>
        <w:tc>
          <w:tcPr>
            <w:tcW w:w="313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Common Stock</w:t>
            </w:r>
          </w:p>
        </w:tc>
      </w:tr>
      <w:tr>
        <w:trPr/>
        <w:tc>
          <w:tcPr>
            <w:tcW w:w="5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earnings per common share:</w:t>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Allocation of 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54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Less: Deemed dividends on perpetual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54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attributable to common shareholders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54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Weighted average common shares outstanding - Diluted</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w:t>
            </w:r>
          </w:p>
        </w:tc>
      </w:tr>
      <w:tr>
        <w:trPr/>
        <w:tc>
          <w:tcPr>
            <w:tcW w:w="54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Diluted earnings per common share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$0.06</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Figures in the tables may not recalculate exactly due to rounding. Basic and diluted earnings per share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calculated based on unrounded numbers.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 months ended June 30, 2026, 6,485,862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related to the IPO Founders Awards were excluded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the calculation of diluted earnings per share, as a result of their anti-dilutive effect. For the three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1,061,506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employee stock options were excluded from the calculation of diluted earnings per share,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a result of their anti-dilutive effect.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37</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EQUIPMENTSHARE.COM INC AND SUBSIDIARIES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(Continued)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w:t>
      </w:r>
    </w:p>
    <w:tbl>
      <w:tblPr>
        <w:tblW w:w="8637" w:type="dxa"/>
        <w:jc w:val="left"/>
        <w:tblInd w:w="0" w:type="dxa"/>
        <w:tblLayout w:type="fixed"/>
        <w:tblCellMar>
          <w:top w:w="28" w:type="dxa"/>
          <w:left w:w="28" w:type="dxa"/>
          <w:bottom w:w="28" w:type="dxa"/>
          <w:right w:w="28" w:type="dxa"/>
        </w:tblCellMar>
      </w:tblPr>
      <w:tblGrid>
        <w:gridCol w:w="5506"/>
        <w:gridCol w:w="736"/>
        <w:gridCol w:w="109"/>
        <w:gridCol w:w="736"/>
        <w:gridCol w:w="109"/>
        <w:gridCol w:w="1441"/>
      </w:tblGrid>
      <w:tr>
        <w:trPr/>
        <w:tc>
          <w:tcPr>
            <w:tcW w:w="55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center"/>
          </w:tcPr>
          <w:p>
            <w:pPr>
              <w:pStyle w:val="TableContents"/>
              <w:bidi w:val="0"/>
              <w:spacing w:before="0" w:after="283"/>
              <w:jc w:val="left"/>
              <w:rPr>
                <w:sz w:val="4"/>
                <w:szCs w:val="4"/>
              </w:rPr>
            </w:pPr>
            <w:r>
              <w:rPr>
                <w:sz w:val="4"/>
                <w:szCs w:val="4"/>
              </w:rPr>
            </w:r>
          </w:p>
        </w:tc>
        <w:tc>
          <w:tcPr>
            <w:tcW w:w="313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w:t>
            </w:r>
          </w:p>
        </w:tc>
      </w:tr>
      <w:tr>
        <w:trPr/>
        <w:tc>
          <w:tcPr>
            <w:tcW w:w="5506"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506"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Common Stock</w:t>
            </w:r>
          </w:p>
        </w:tc>
      </w:tr>
      <w:tr>
        <w:trPr/>
        <w:tc>
          <w:tcPr>
            <w:tcW w:w="55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and diluted earnings per common share:</w:t>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Allocation of 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r>
      <w:tr>
        <w:trPr/>
        <w:tc>
          <w:tcPr>
            <w:tcW w:w="55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Less: Deemed dividends on perpetual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r>
      <w:tr>
        <w:trPr/>
        <w:tc>
          <w:tcPr>
            <w:tcW w:w="55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loss attributable to common shareholders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r>
      <w:tr>
        <w:trPr/>
        <w:tc>
          <w:tcPr>
            <w:tcW w:w="55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Weighted average common shares outstanding - basic and diluted</w:t>
            </w:r>
            <w:r>
              <w:rPr>
                <w:caps w:val="false"/>
                <w:smallCaps w:val="false"/>
              </w:rPr>
              <w:t xml:space="preserve"> </w:t>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r>
      <w:tr>
        <w:trPr/>
        <w:tc>
          <w:tcPr>
            <w:tcW w:w="55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Basic and diluted loss per common share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Figures in the table may not recalculate exactly due to rounding. Basic and diluted earnings per share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calculated based on unrounded numbers.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six months ended June 30, 2026 and 2025, 6,983,666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5,609,262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employee stock options,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were excluded from the calculation of diluted earnings per share, as a result of their anti-dilutive effect.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addition, convertible preferred shares of 51,445,535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141,989,676, which are considered participating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were excluded from the calculation of diluted earnings per share for the six months ended June 30, 2026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2025, respectively, as a result of their anti-dilutive effect. IPO Founders Awards of 5,916,927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excluded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the calculation of diluted earnings per share for the six months ended June 30, 2026, as a result of their anti-</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dilutive effect. For the six months ended June 30, 2026, 787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RSUs were excluded from the calculation of diluted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earnings per share, as a result of their anti-dilutive effect.</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20.SUBSEQUENT EVENTS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Senior Secured Second Lien Notes due 2034</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July 1, 2026, the Company issued $1,350,000,000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aggregate principal amount of 7.125%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Senior Secured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Second Lien Notes due 2034 (the “2034 Notes</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 The 2034 Notes were issued pursuant to the indenture, dated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July 1, 2026, between the Company and Citibank, N.A., as trustee and notes collateral agent. The 2034 Notes bear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interest at a rate of 7.125%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year and interest is payable semi-annually in arrears on July 1 and January 1 of each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 The 2034 Notes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will mature on July 1, 2034.  The 2034 Notes rank </w:t>
      </w:r>
      <w:r>
        <w:rPr>
          <w:rFonts w:ascii="Times New Roman;serif" w:hAnsi="Times New Roman;serif"/>
          <w:b w:val="false"/>
          <w:i/>
          <w:strike w:val="false"/>
          <w:dstrike w:val="false"/>
          <w:sz w:val="20"/>
          <w:u w:val="none"/>
          <w:effect w:val="none"/>
        </w:rPr>
        <w:t>pari passu</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right of payment to all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any guarantor’s existing and future senior indebtedness, including indebtedness under the ABL Credit Facility,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2028 Notes, 2032 Notes and 2033 Notes. These notes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original issue discounts and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incurred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underwriting expenses and other issuance costs.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Net proceeds from the issuance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2034 Notes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$1,339 million. The Company used the gross proceeds from this offering (i) to repay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revolving credit facility under the ABL Credit Facility, (ii) to pay fees and expenses in connection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foregoing, and (iii) for general corporate purposes.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Share Repurchase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9, 2026, the Board approved a share repurchase program with authorization to purchase up to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aggregate of $500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Company’s Class A common stock with an expiration date of December 31, 2028.</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Repurchases under the program may be made from time to time in the open market at prevailing market prices,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privately negotiated transactions, in block trades and through other legally permissible means, with the amount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timing of repurchases to be determined at the Company’s discretion, depending on market conditions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corporate needs. Open market repurchases will be structured to occur in accordance with applicable federal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laws, including within the pricing and volume requirements of Rule 10b-18 under the Exchange Act.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may also, from time to time, enter into Rule 10b5-1 plans to facilitate repurchases of its shares under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authorization. This program does not obligate the Company to acquire any particular amount of Class A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and may be modified, suspended or terminated at any time at the discretion of the Board.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38</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2.  MANAGEMENT’S DISCUSSION AND ANALYSIS OF FINANCIAL CONDITION AND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RESULTS OF OPERATIONS.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You should read the following discussion of our financial condition and results of operations in conjunction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with our unaudited condensed consolidated financial statements, including the notes thereto, included elsewhere in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this Form 10-Q. In addition to historical information, the following discussion and analysis contains forward-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looking statements that reflect our plans, estimates, and beliefs. Our actual results and the timing of events could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differ materially from those anticipated in the forward-looking statements. Factors that could cause or contribute to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these differences include those discussed below and under Part I, Item 1A, “Risk Factors” in our 2025 Form 10-K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particularly in the “Risk Factors” and “Cautionary Note Regarding Forward-Looking Statements”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Overview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a leading tech-enabled construction solutions provider dedicated to enabling job sites to run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productively and safely. Through our rental service and retail centers, we offer our customers a comprehensive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portfolio of equipment asset management solutions enabled through our T3 platform, which we believe is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leading sensor-to-cloud fleet management tool in the commercial construction industry and which provides value-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added services to our customers by managing people, assets, and materials in real time.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one of the largest and fastest-growing equipment rental providers in the U.S. based on revenue.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we operated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full-service branch locations,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standalone dealership sites, and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building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materials and hardware retail stores across 45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states, with a diversified managed fleet portfolio of more than 280,000</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pieces of equipment and approximately 394,000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trackers operating on our T3 platform. As of June 30, 2026, we had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9,203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employees who support us in solving industry inefficiencies by providing smart jobsite technology,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operating our equipment rental and retail and service centers.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rental fleet, including support vehicles and trailers, consists of equipment that we (i) own, (ii) lease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lessee under operating lease arrangements with third-party lessors such as an Original Equipment Manufacturer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(“OEM”) and financial institutions, or (iii) lease as lessee under our OWN Program. As of June 30, 2026, 189,961</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pieces of equipment were owned by us; 963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pieces of equipment were leased by us as a lessee under operating lease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arrangements with third parties such as OEMs and financial institutions; and 89,775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pieces of equipment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leased by us as lessee, and rented by us to our customers, under our OWN Program. Leased equipment refers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subject to operating lease contracts with third parties such as OEMs and financial institutions in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contracted use of the equipment for a defined period. OWN Program equipment refers to equipment sold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 Program participants and subsequently leased back and operated by us under the OWN Program lease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revenue-sharing structure. Both leased and OWN Program equipment are part of our equipment under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Our Business Activities and Operating Environment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engaged principally in the business of renting equipment that is managed by and fully enabled with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T3 platform. This includes equipment that we own, lease, or is rented from third parties through our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Ancillary to our principal business of equipment rental and related services, we also sell used rental equipment, sell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new equipment and consumables, and offer certain services and support to our customers.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operate our business through the following reportable segments: (i) Equipment Rental and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comprised of recurring activity performed at our full-service branch locations, such as equipment rentals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related services (including allocated telematics revenue related to rental customer access to the T3 platform),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sales of parts, supplies and maintenance services to construction contractors and others, and (ii)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comprised of sales by us of new or used equipment made at any of our branch locations and dealership sites,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equipment sales to participants in the OWN Program. All other business activities include telematics SaaS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subscriptions, software applications, and related telematics devices purchased by customers for their owned fleet,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well as building materials and hardware supplies.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39</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Key Factors Affecting Our Performance </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Demand for Construction Equipment.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business is primarily impacted by the demand in the U.S.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for use in non-residential, infrastructure, governmental, industrial, and residential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demolition, maintenance, energy operations, and other construction activities. Demand levels for heavy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are particularly dependent on the expected level of major infrastructure construction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repair projects, which is a function of expected economic growth and government spending.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expect to benefit if tariffs lead to onshoring of manufacturing and result in construction of new facilities, but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results will be negatively affected if construction of energy transition infrastructure is reduced due to lower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subsidies or other factors.</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Seasonality and Weather Conditions.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rental of construction equipment is seasonal, which causes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quarterly results and our available cash flow to fluctuate during the year. Our customers generally purchase and 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in preparation for, or in conjunction with, their busy season, which is typically late spring to November.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However, weather conditions impact the timing of our customers’ busy season, which may cause greater than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fluctuations in our quarterly financial results year over year. Seasonal weather trends, particularly severe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wet or dry conditions, can have a significant impact on regional construction market performance by affecting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ability to undertake construction projects. In addition, numerous external factors such as credit markets, government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subsidies and tariffs, commodity prices, and other circumstances may disrupt normal rental and/or purchasing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practices and sentiment, further contributing to the fluctuations.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Moreover, because equipment sale transactions with OWN Program participants occur unevenly throughout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 depending on demand, period-over-period comparisons may not reflect underlying trends. These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may also result in a higher percentage of our revenue being attributable to an OWN Program participant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during which one or more equipment sale transactions with such party occurred. The OWN Program has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consistently attracted strong demand across multiple sources of capital, including institutional investors who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 as a buying group through a collective vehicle and finance their equipment purchases through asset-backed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(“ABS”). To satisfy this demand, we have organized for these investors sales of large packages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and have conducted these sales on an episodic basis. Accordingly, period-over-period comparisons may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reflect underlying trends and fluctuations in our operating results and make it difficult for us to predict our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results. </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Costs of Equipment and Inflation.</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Significant changes in the purchase price or residual values of equipment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rates can have a significant effect on our profitability depending on our ability to adjust pricing for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changes. Inflationary pressures and other factors have led to increases in the prices of some equipment and products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we purchase, and in the costs of our operations, which may be partially offset by increases in the prices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charge our customers. A sizeable portion of the equipment we lease as lessee through our OWN Program is owned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third parties who have financed equipment purchases through the issuance of ABS, and a reduction in residual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values could trigger liquidation events for these OWN Program participants and may require them to sell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which may cause a disruption in our ability to lease and re-rent the construction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our customers.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profitability is dependent upon a number of other factors, including the volume, mix, and pricing of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transactions, and the utilization of equipment.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business requires significant expenditures for equipment, and we require substantial liquidity and/or access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capital to finance such expenditures. See “—Liquidity and Capital Resources” below.</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Geographic and Fleet Expansion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geographic expansion of full-service equipment rental branch locations, and the corresponding increase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equipment rental fleet size as we supply new branch locations, is one of the primary factors affecting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results. The additional branch locations and rental fleet, combined with equipment sales, were the primary drivers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total revenue increasing from $1,147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$1,449 million</w:t>
      </w:r>
      <w:r>
        <w:rPr>
          <w:caps w:val="false"/>
          <w:smallCaps w:val="false"/>
          <w:sz w:val="24"/>
        </w:rPr>
        <w:t xml:space="preserve"> </w:t>
      </w:r>
      <w:r>
        <w:rPr>
          <w:rFonts w:ascii="Times New Roman;serif" w:hAnsi="Times New Roman;serif"/>
          <w:b w:val="false"/>
          <w:i w:val="false"/>
          <w:caps w:val="false"/>
          <w:smallCaps w:val="false"/>
          <w:sz w:val="20"/>
        </w:rPr>
        <w:t xml:space="preserve">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40</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three months ended June 30, 2026</w:t>
      </w:r>
      <w:r>
        <w:rPr>
          <w:rFonts w:ascii="Times New Roman;serif" w:hAnsi="Times New Roman;serif"/>
          <w:b w:val="false"/>
          <w:i w:val="false"/>
          <w:caps w:val="false"/>
          <w:smallCaps w:val="false"/>
          <w:sz w:val="20"/>
        </w:rPr>
        <w:t xml:space="preserve">, or at a growth rate of </w:t>
      </w:r>
      <w:r>
        <w:rPr>
          <w:rFonts w:ascii="Times New Roman;serif" w:hAnsi="Times New Roman;serif"/>
          <w:b w:val="false"/>
          <w:i w:val="false"/>
          <w:caps w:val="false"/>
          <w:smallCaps w:val="false"/>
          <w:strike w:val="false"/>
          <w:dstrike w:val="false"/>
          <w:sz w:val="20"/>
          <w:u w:val="none"/>
          <w:effect w:val="none"/>
        </w:rPr>
        <w:t>26.3%</w:t>
      </w:r>
      <w:r>
        <w:rPr>
          <w:rFonts w:ascii="Times New Roman;serif" w:hAnsi="Times New Roman;serif"/>
          <w:b w:val="false"/>
          <w:i w:val="false"/>
          <w:caps w:val="false"/>
          <w:smallCaps w:val="false"/>
          <w:sz w:val="20"/>
        </w:rPr>
        <w:t xml:space="preserve">, and </w:t>
      </w:r>
      <w:r>
        <w:rPr>
          <w:rFonts w:ascii="Times New Roman;serif" w:hAnsi="Times New Roman;serif"/>
          <w:b w:val="false"/>
          <w:i w:val="false"/>
          <w:caps w:val="false"/>
          <w:smallCaps w:val="false"/>
          <w:strike w:val="false"/>
          <w:dstrike w:val="false"/>
          <w:sz w:val="20"/>
          <w:u w:val="none"/>
          <w:effect w:val="none"/>
        </w:rPr>
        <w:t>$1,864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$2,437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or at a growth rate of 31%.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line with customer demand and our growth strategy, we have increased the number of full-service equipment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rental branch locations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 an increase of 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new full-service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branch locations. In conjunction with the opening of these new full-service equipment rental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branch locations, we incurred $109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new market start-up costs during the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correspondingly increased our fleet size from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units of equipment under management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to 280,699</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reflecting the growth in original equipment cost (“OEC”)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which includes equipment we own and rent to customers, as well as equipment owned by third parties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leased by us, as lessee through our OWN Program, and rented to our customers, 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$9,851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or an increase of 34%.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Expansion of OWN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growth in our business through geographic and fleet expansion has been partially achieved through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execution of our strategy to expand our OWN Program. Under the OWN Program, participants may purchase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 new or used (typically less than four years old) equipment which is fully enabled with T3. Concurrently, we enter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into a lease arrangement with the participant whereby we are the lessee and this qualified equipment is placed on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T3 platform, to be rented to our customers. Rental revenue generated from equipment enrolled under the 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Program is divided and shared between us and the owner of the equipment, and for the duration of the arrangement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manage the owner’s equipment utilizing the T3 platform.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Participants in the OWN Program include institutional investors and ABS entities, family offices, high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worth individuals, and other third parties. Since 2024, OEC under management increased by $3.7 billion due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growth of the OWN Program. Institutional investors and ABS entities, family offices, and high net worth individuals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represented 45%, 29%, and 26%, respectively, of the increase in OEC under management.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provide an attractive cost of capital. For the six months ended June 30, 2026, we estimate that 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Program transactions represented a cost of capital of approximately 7.0%, as compared to our 7.2% weighted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average cost of debt for the same time period.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we pay to OWN Program participants to lease their equipment are presented as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payouts within cost of revenues. At the end of the sharing period under the OWN Program, we may assist the owner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remarketing services if the equipment is to be sold in the market as used construction equipment. We also offer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several add-on services to the owner of the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earned from equipment that is in the OWN Program has no depreciation expense or interest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us because we do not own, and therefore do not finance, such equipment. Thus, we have been able to implement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this portion of our managed fleet growth without incurring additional debt. When rental equipment is enrolled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 Program, rather than purchased and owned by us, we incur lease expense in the form of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payouts, which are recorded as cost of revenues, instead of depreciation expense and interest expense associated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 rental equipment that is purchased. OWN Program payouts were $234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$173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respectively, $451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respectively. This expansion increases cost of revenues (before depreciation expense)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decreases depreciation expense and interest expense, which affects gross profit (before depreciation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EBITDA (which we define and calculate as net income before interest expense, income taxes, depreciation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amortization expense, and non-cash stock compensation expense), and EBITDA margins. We expect to further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our usage of the OWN Program, which will increase OWN Program payouts in cost of revenues and reduce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gross profit (before depreciation) and EBITDA margins, as compared to rental equipment that is purchased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placed in our rental fleet. In addition, OWN Program payouts plus depreciation have grown at a faster rate than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growth of revenue. Total equipment rental fleet OEC under our management increased $2,491 million, or 34%,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$9,851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The total equipment rental fleet OEC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enrolled in the OWN Program grew by $1,627</w:t>
      </w:r>
      <w:r>
        <w:rPr>
          <w:caps w:val="false"/>
          <w:smallCaps w:val="false"/>
          <w:sz w:val="24"/>
        </w:rPr>
        <w:t xml:space="preserve"> </w:t>
      </w:r>
      <w:r>
        <w:rPr>
          <w:rFonts w:ascii="Times New Roman;serif" w:hAnsi="Times New Roman;serif"/>
          <w:b w:val="false"/>
          <w:i w:val="false"/>
          <w:caps w:val="false"/>
          <w:smallCaps w:val="false"/>
          <w:sz w:val="20"/>
        </w:rPr>
        <w:t>million</w:t>
      </w:r>
      <w:r>
        <w:rPr>
          <w:rFonts w:ascii="Times New Roman;serif" w:hAnsi="Times New Roman;serif"/>
          <w:b w:val="false"/>
          <w:i w:val="false"/>
          <w:caps w:val="false"/>
          <w:smallCaps w:val="false"/>
          <w:strike w:val="false"/>
          <w:dstrike w:val="false"/>
          <w:sz w:val="20"/>
          <w:u w:val="none"/>
          <w:effect w:val="none"/>
        </w:rPr>
        <w:t xml:space="preserve">, or 42%, Company-owned equipment rental fleet OEC grew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41</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by $929</w:t>
      </w:r>
      <w:r>
        <w:rPr>
          <w:caps w:val="false"/>
          <w:smallCaps w:val="false"/>
          <w:sz w:val="24"/>
        </w:rPr>
        <w:t xml:space="preserve"> </w:t>
      </w:r>
      <w:r>
        <w:rPr>
          <w:rFonts w:ascii="Times New Roman;serif" w:hAnsi="Times New Roman;serif"/>
          <w:b w:val="false"/>
          <w:i w:val="false"/>
          <w:caps w:val="false"/>
          <w:smallCaps w:val="false"/>
          <w:sz w:val="20"/>
        </w:rPr>
        <w:t>million</w:t>
      </w:r>
      <w:r>
        <w:rPr>
          <w:rFonts w:ascii="Times New Roman;serif" w:hAnsi="Times New Roman;serif"/>
          <w:b w:val="false"/>
          <w:i w:val="false"/>
          <w:caps w:val="false"/>
          <w:smallCaps w:val="false"/>
          <w:strike w:val="false"/>
          <w:dstrike w:val="false"/>
          <w:sz w:val="20"/>
          <w:u w:val="none"/>
          <w:effect w:val="none"/>
        </w:rPr>
        <w:t>, or 28%, and the equipment rental fleet OEC under operating leases decreased by $65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same period. During the six months ended June 30, 2026, OWN Program payouts increased 38%</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the six months ended June 30, 2025; of that increase, 41%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attributed to the growth of the average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fleet OEC enrolled in the OWN Program. Because the OWN Program payouts are variable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based on the amount of rental revenue generated by the applicable equipment during the period, changes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demand from our customers for specific types of rental equipment affects the amount of equipment rental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services revenue generated.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Components of Revenues and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revenues are primarily derived from the rental or sale of construction equipment, as well as related parts,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supplies and services, and consist of:</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Equipment rental and related services (includes revenue associated with the rental of equipment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ancillary revenue from equipment delivery and pickup, rental protection plans, and fueling charges);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Sales of new or used rental equipment and sales of new equipment, including revenue from equipment sales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subsequently listed on our marketplace under the OWN Program;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Sales of equipment parts, supplies, and services (primarily relating to warranty services and maintenance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repair services provided to customers);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Sales that we call “platform revenue,” which includes telematics software-as-a-service and related hardware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as well as the sale of building materials, small tools and construction supplies at our retail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locations.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expenses primarily consist of:</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Direct operating costs (primarily costs incurred at our rental branch locations that collectively support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and Services Operations segment, including, but not limited to, wages and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benefits, service costs in connection with our rental equipment, site operating costs, pickup and delivery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expenses in connection with rental equipment, maintenance, fuel, parts, and supplies);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OWN Program payouts;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Equipment sales cost of revenues;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Platform expense;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Depreciation and amortization expense relating to equipment used in operations and capitalized software;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Selling, general and administrative expenses;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Interest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revenues and expenses are described in more detail below.</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Revenues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Equipment Rental and Related Services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core service is the rental of equipment to customers on a daily, weekly, and monthly basis, enabled by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T3 platform. The equipment we rent includes company-owned equipment, equipment we lease as a lessee,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that is leased from other parties in the OWN Program and re-rented to customers. We generate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from equipment that is in our OWN Program by leasing equipment from owners on a month-to-month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longer basis and then renting that equipment to our customers. Under nearly all of our OWN Program contracts,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control over the equipment and the equipment owner is not able to redeploy or retrieve the equipment while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42</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rent. Depending on the terms and conditions, we present rental revenue that we generate and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payouts that we incur on OWN Program contracts either on a gross basis or a net basis.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equipment rental revenue, including from our OWN Program, we also generate revenue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customers from the sale of rental protection plan (“RPP”) services designed to protect them from potential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damage or loss to the equipment they rent, environmental fees assessed on the rental asset and fuel recovery fees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 charge to our customers.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Equipment Sales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established a retail process to sell new and used equipment as a recurring part of our business.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 we sell equipment assets to third parties, including third parties who have financed equipment purchases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through the issuance of ABS, and allow the customer to place the equipment in our OWN Program to be rented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customers. We sell new and used equipment through a variety of channels, including retail sales to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other third parties, sales to wholesalers, brokered sales, and auctions. We generate revenue from the sale of new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used equipment, which we present net of sales and other tax amounts collected from customers and remitted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government authorities. When we act as agent in connection with the sale of new equipment to, for example,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contractor or an OWN Program participant, among other reasons, we present revenue from the sale of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net in our consolidated statements of net income. When we are the principal in the transaction, we present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from the sale of equipment on a gross basis, with sales revenue included in equipment sales revenue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related cost of revenues included in equipment sales cost of revenues in our consolidated statements of net income.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Equipment Parts and Supplies and Services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an integral part of our Equipment Rental and Services Operations, we sell equipment parts and supplies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 maintenance, and repair services to customers, as well as the owners of equipment who are participants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OWN Program. Revenue generated from the sale of equipment parts and supplies is presented net of sales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tax amounts collected from customers and remitted to government authorities. We also generate revenue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provision of ad hoc and preventative maintenance, and repair services to our customers, as well as warranty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repairs. We provide warranty repair services on behalf of OEMs in order to fulfill the warranty extended by OEMs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their customers. Revenue that we generate from warranty repair services represents compensation for the service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performed by us and is presented on a gross basis.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Platform Revenue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Platform revenue is comprised of revenue from telematics services and the sale of custom electronic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components, including telematics tracker devices and cloud-based access control keypads, and revenue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building materials and hardware supplies. Revenue from telematics is generated through monthly subscriptions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T3 platform and its full suite of capabilities, which we provide to our customers as a SaaS subscription.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 our equipment rental arrangements also provide customers with access to our T3 platform and we allocate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portion of the transaction consideration from equipment rentals to telematics revenue. Our T3 platform provides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with access to proprietary digital tools to help manage their jobsites more productively and safely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enables customers to streamline maintenance and prevent theft, and equipment misuse. Our T3 platform also enables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owners with subscriptions to place their equipment on our OWN Program to be rented to our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from building materials and hardware supplies is derived from the sale of such materials and supplies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retail stores.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Cost of Revenues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Direct Operating Costs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 operating costs include the costs that we incur at our rental branch locations that collectively support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and Services Operations segment, including, but not limited to, wages and related benefits,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service costs in connection with our rental equipment, site operating costs, pickup and delivery expenses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connection with rental equipment, maintenance, fuel, parts, and supplies.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43</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OWN Program Payouts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we pay to OWN Program participants, as a variable lease expense for their share of rental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generated by us from equipment enrolled under the OWN Program, are presented as OWN Program payouts within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 of revenues.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Equipment Sales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sales cost of revenues includes our OEC, less accumulated depreciation, related to equipment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 sell when we act as the principal in the transaction.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Platform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Platform expense primarily represents (1) costs relating to the telematics services provided to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the cost of tracker devices and cloud-based access control keypads installed on equipment owned by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and other custom electronic components; (2) the cost of building supplies, materials and hardware sold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and (3) other operating costs for our retail stores.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Depreciation and Amortization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and amortization includes non-cash expenses relating to the depreciation of our rental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fleet and the amortization of capitalized costs relating to the development of our T3 platform.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of rental equipment includes depreciation of various classes of our construction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delivery vehicles, trailers, and installed telematics tracker devices. We estimate that we may hold the asset in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fleet for a period of five to ten years to generate rental revenue, after which it will be sold or otherwise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disposed of to another party. We also estimate the residual value of the equipment at the time of expected disposal.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expense is calculated using a straight-line method and recorded over the estimated holding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total capitalized cost of our T3 platform includes direct costs that result in additional functionality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software, including payroll and related costs for employees directly associated with the development project.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Capitalized software is amortized over an estimated useful life of five years.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Selling, General and Administrative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Selling, general and administrative expenses primarily include costs associated with operating leases, costs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incurred by us in connection with marketing of manufacturers’ equipment, net of reimbursements we receive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such manufacturers for such costs, payroll costs, insurance costs, legal costs, marketing and travel costs, technology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costs, and certification and training costs. In addition, depreciation of our buildings and improvements,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leasehold improvements, furniture, fixtures, office equipment, and capitalized start-up costs are classified within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selling, general and administrative expenses.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Other Income (Expense)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Interest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expense primarily represents interest on our outstanding debt. Any interest or penalties incurred relating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income tax filings, if any, are also reported within interest expense.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Other Income,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Other income, net includes gains and losses on investments in equity securities, realized gains on available-for-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 debt securities, fees relating to properties assigned to other parties, construction development fees earned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managing construction activities at properties owned by other parties, gain on sale of properties and other assets,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other miscellaneous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44</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Results</w:t>
      </w:r>
      <w:bookmarkStart w:id="2" w:name="i2efc0c6af071460192a0726977449ff8_10761"/>
      <w:bookmarkEnd w:id="2"/>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of Operations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Three Months Ended June 30, 2026</w:t>
      </w:r>
      <w:r>
        <w:rPr>
          <w:strike w:val="false"/>
          <w:dstrike w:val="false"/>
          <w:sz w:val="24"/>
          <w:u w:val="none"/>
          <w:effect w:val="none"/>
          <w:shd w:fill="FFFFFF" w:val="clear"/>
        </w:rPr>
        <w:t xml:space="preserve"> </w:t>
      </w:r>
      <w:r>
        <w:rPr>
          <w:rFonts w:ascii="Times New Roman;serif" w:hAnsi="Times New Roman;serif"/>
          <w:b/>
          <w:i/>
          <w:strike w:val="false"/>
          <w:dstrike w:val="false"/>
          <w:sz w:val="20"/>
          <w:u w:val="none"/>
          <w:effect w:val="none"/>
          <w:shd w:fill="FFFFFF" w:val="clear"/>
        </w:rPr>
        <w:t xml:space="preserve">Compared with </w:t>
      </w:r>
      <w:r>
        <w:rPr>
          <w:rFonts w:ascii="Times New Roman;serif" w:hAnsi="Times New Roman;serif"/>
          <w:b/>
          <w:i/>
          <w:strike w:val="false"/>
          <w:dstrike w:val="false"/>
          <w:sz w:val="20"/>
          <w:u w:val="none"/>
          <w:effect w:val="none"/>
        </w:rPr>
        <w:t>Three Months Ended June 30, 2025</w:t>
      </w:r>
    </w:p>
    <w:tbl>
      <w:tblPr>
        <w:tblW w:w="7202" w:type="dxa"/>
        <w:jc w:val="left"/>
        <w:tblInd w:w="0" w:type="dxa"/>
        <w:tblLayout w:type="fixed"/>
        <w:tblCellMar>
          <w:top w:w="28" w:type="dxa"/>
          <w:left w:w="28" w:type="dxa"/>
          <w:bottom w:w="28" w:type="dxa"/>
          <w:right w:w="28" w:type="dxa"/>
        </w:tblCellMar>
      </w:tblPr>
      <w:tblGrid>
        <w:gridCol w:w="4021"/>
        <w:gridCol w:w="571"/>
        <w:gridCol w:w="109"/>
        <w:gridCol w:w="571"/>
        <w:gridCol w:w="109"/>
        <w:gridCol w:w="796"/>
        <w:gridCol w:w="109"/>
        <w:gridCol w:w="916"/>
      </w:tblGrid>
      <w:tr>
        <w:trPr/>
        <w:tc>
          <w:tcPr>
            <w:tcW w:w="402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jc w:val="left"/>
              <w:rPr>
                <w:sz w:val="4"/>
                <w:szCs w:val="4"/>
              </w:rPr>
            </w:pPr>
            <w:r>
              <w:rPr>
                <w:sz w:val="4"/>
                <w:szCs w:val="4"/>
              </w:rPr>
            </w:r>
          </w:p>
        </w:tc>
        <w:tc>
          <w:tcPr>
            <w:tcW w:w="318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Change</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3181" w:type="dxa"/>
            <w:gridSpan w:val="7"/>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in millions)</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Revenues</w:t>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rental and related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parts and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Platform revenue:</w:t>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revenue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1,449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1,147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26%</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Cost of revenues</w:t>
            </w:r>
          </w:p>
        </w:tc>
        <w:tc>
          <w:tcPr>
            <w:tcW w:w="5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Direct operating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OWN Program payouts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Platform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cost of revenues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22%</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Gross profit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40%</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Selling, general and administrative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Operating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47%</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income (expense):</w:t>
            </w:r>
          </w:p>
        </w:tc>
        <w:tc>
          <w:tcPr>
            <w:tcW w:w="5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income,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other expense, net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i w:val="false"/>
                <w:caps w:val="false"/>
                <w:smallCaps w:val="false"/>
                <w:strike w:val="false"/>
                <w:dstrike w:val="false"/>
                <w:color w:val="000000"/>
                <w:sz w:val="20"/>
                <w:u w:val="none"/>
                <w:effect w:val="none"/>
              </w:rPr>
              <w:t>%</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Income before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1000%</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Provision for (benefit from)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Net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19%</w:t>
            </w:r>
          </w:p>
        </w:tc>
      </w:tr>
    </w:tbl>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Total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 revenue was $1,449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compared to $1,147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$302 million, or 26%. Our four sources of revenues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 the period are further discussed below:</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rental and related services.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Equipment rental and related services revenue accounted for 56%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revenue for the three months ended June 30, 2026, compared to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three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Our equipment rental revenue and related services was $815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r>
        <w:rPr>
          <w:rFonts w:ascii="Times New Roman;serif" w:hAnsi="Times New Roman;serif"/>
          <w:b w:val="false"/>
          <w:i w:val="false"/>
          <w:caps w:val="false"/>
          <w:smallCaps w:val="false"/>
          <w:sz w:val="20"/>
        </w:rPr>
        <w:t xml:space="preserve">three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June 30, 2026</w:t>
      </w:r>
      <w:r>
        <w:rPr>
          <w:rFonts w:ascii="Times New Roman;serif" w:hAnsi="Times New Roman;serif"/>
          <w:b w:val="false"/>
          <w:i w:val="false"/>
          <w:caps w:val="false"/>
          <w:smallCaps w:val="false"/>
          <w:strike w:val="false"/>
          <w:dstrike w:val="false"/>
          <w:sz w:val="20"/>
          <w:u w:val="none"/>
          <w:effect w:val="none"/>
        </w:rPr>
        <w:t>, compared to $577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$238 million,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41%. Approximately $196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increase in equipment rental and related services revenue is driven by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in construction demand in the U.S., our strategy to increase our geographical presence, and value afforded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our customers from our T3 platform. Accordingly, w</w:t>
      </w:r>
      <w:r>
        <w:rPr>
          <w:rFonts w:ascii="Times New Roman;serif" w:hAnsi="Times New Roman;serif"/>
          <w:b w:val="false"/>
          <w:i w:val="false"/>
          <w:caps w:val="false"/>
          <w:smallCaps w:val="false"/>
          <w:sz w:val="20"/>
        </w:rPr>
        <w:t xml:space="preserve">e increased the number of our full-service equipment rental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branch locations from </w:t>
      </w:r>
      <w:r>
        <w:rPr>
          <w:rFonts w:ascii="Times New Roman;serif" w:hAnsi="Times New Roman;serif"/>
          <w:b w:val="false"/>
          <w:i w:val="false"/>
          <w:caps w:val="false"/>
          <w:smallCaps w:val="false"/>
          <w:strike w:val="false"/>
          <w:dstrike w:val="false"/>
          <w:sz w:val="20"/>
          <w:u w:val="none"/>
          <w:effect w:val="none"/>
        </w:rPr>
        <w:t>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w:t>
      </w:r>
      <w:r>
        <w:rPr>
          <w:caps w:val="false"/>
          <w:smallCaps w:val="false"/>
          <w:sz w:val="24"/>
        </w:rPr>
        <w:t xml:space="preserve"> </w:t>
      </w:r>
      <w:r>
        <w:rPr>
          <w:rFonts w:ascii="Times New Roman;serif" w:hAnsi="Times New Roman;serif"/>
          <w:b w:val="false"/>
          <w:i w:val="false"/>
          <w:caps w:val="false"/>
          <w:smallCaps w:val="false"/>
          <w:sz w:val="20"/>
        </w:rPr>
        <w:t xml:space="preserve">In addition, we grew our fleet OEC under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management </w:t>
      </w:r>
      <w:r>
        <w:rPr>
          <w:rFonts w:ascii="Times New Roman;serif" w:hAnsi="Times New Roman;serif"/>
          <w:b w:val="false"/>
          <w:i w:val="false"/>
          <w:caps w:val="false"/>
          <w:smallCaps w:val="false"/>
          <w:strike w:val="false"/>
          <w:dstrike w:val="false"/>
          <w:sz w:val="20"/>
          <w:u w:val="none"/>
          <w:effect w:val="none"/>
        </w:rPr>
        <w:t>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$9,851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and increased the size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our fleet from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to 280,699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of equipment under management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Changes in the mix of equipment rented and price changes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equipment rental and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services revenue by $42 million.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45</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Equipment sales revenue accounted for 33%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w:t>
      </w:r>
      <w:r>
        <w:rPr>
          <w:rFonts w:ascii="Times New Roman;serif" w:hAnsi="Times New Roman;serif"/>
          <w:b w:val="false"/>
          <w:i w:val="false"/>
          <w:caps w:val="false"/>
          <w:smallCaps w:val="false"/>
          <w:sz w:val="20"/>
        </w:rPr>
        <w:t xml:space="preserve">three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June 30, 2026</w:t>
      </w:r>
      <w:r>
        <w:rPr>
          <w:rFonts w:ascii="Times New Roman;serif" w:hAnsi="Times New Roman;serif"/>
          <w:b w:val="false"/>
          <w:i w:val="false"/>
          <w:caps w:val="false"/>
          <w:smallCaps w:val="false"/>
          <w:strike w:val="false"/>
          <w:dstrike w:val="false"/>
          <w:sz w:val="20"/>
          <w:u w:val="none"/>
          <w:effect w:val="none"/>
        </w:rPr>
        <w:t>, compared to 42%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three months ended June 30, 2025. Equipment sales revenue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$483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2026, compared to $478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an increase of $5 million, or 1%. The change was primarily due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disciplined and selective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sales into the OWN Program, resulting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 increase of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sales of construction equipment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existing and new participants in our OWN Program, partially offset by a decrease of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sale of new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used equipment to contractors and other end users. As we increase the size of our OWN Program,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OWN Program participants may result in a higher percentage of our revenue being attributable to an 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Program participant for the period during which one or more equipment sale transactions with such party occurred.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experienced strong interest from participants in the OWN Program for construction equipment enabled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T3, as owners get real-time data on usage, health, and performance of the machines rented exclusively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EquipmentShare and re-rented to our customers. The OWN Program has allowed us to scale the fleet OEC under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management in order to meet customer demand for construction equipment enabled by T3.</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Equipment parts and supplies and services.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Equipment parts and supplies and services revenue accounted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revenue for the three months ended June 30, 2026, compared to 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Equipment parts and supplies and services revenue was $88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$18 million, or 26%. This increase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primarily due to our expansion into new markets, resulting in additional full-service branch locations added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nationwide network, which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locations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locations as of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Equipment parts and supplies and services revenue increased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mature branch locations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primarily attributed to the expansion of our product and service offering in mature branch locations, and $5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new branch locations open less than 24 months as a result of the addition of 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full-service branch locations.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Platform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Platform revenue accounted for 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three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three months ended June 30, 2025. Platform revenue from telematics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2026, compared to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an increase of $24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240%. This increase 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due to an increase in revenues related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 of custom electronic components following our September 2025 acquisition of the controlling interests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Morey Corporation (“Morey”), a business that designs, manufactures, and sells custom electronic components,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telematics tracker devices and cloud-based access control keypads. Platform revenue from the sale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materials, building supplies, and hardware across our building materials and hardware retail stores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2026, compared to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an increase of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primarily attributable to the addition of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building materials and hardware retail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stores.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Cost of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Cost of revenues was $1,038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compared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$854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$184 million, or 22%. Our sources of cost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revenues over the period are further discussed below:</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Direct operating costs.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Direct operating costs were $277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$181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$96 million, or 53%.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 in direct operating costs is primarily due to the expansion of our footprint through the addition of 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service branch locations, which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locations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locations as of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The additional operating locations drove increases in wages and related benefits of $20 million, and logistics,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maintenance, and other site operating costs of $76 million.</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OWN Program payouts.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OWN Program payouts were $234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$173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 an increase of $61 million, or 35%</w:t>
      </w:r>
      <w:r>
        <w:rPr>
          <w:rFonts w:ascii="Times New Roman;serif" w:hAnsi="Times New Roman;serif"/>
          <w:b w:val="false"/>
          <w:i w:val="false"/>
          <w:caps w:val="false"/>
          <w:smallCaps w:val="false"/>
          <w:sz w:val="20"/>
        </w:rPr>
        <w:t>.</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$69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increase is attributed to the growth of the average fleet OEC under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enrolled in the OWN Program, which grew from $3,732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$5,238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2026, or 40%. Changes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demand for specific types of rental equipment and the mix of equipment rented partially offset the increase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OWN program payouts by $8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46</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 cost of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Equipment sales cost of revenues was $394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2026, compared to $411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 decrease of $17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or 4%. This decrease was primarily due to a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reduction in equipment sales cost of revenues associated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 sales to existing and new participants in the OWN Program and a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decrease in equipment sales cost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revenues resulting from lower equipment sales to contractors and other end users.</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Platform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Platform expense was $35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compared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 an increase of $24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218%</w:t>
      </w:r>
      <w:r>
        <w:rPr>
          <w:rFonts w:ascii="Times New Roman;serif" w:hAnsi="Times New Roman;serif"/>
          <w:b w:val="false"/>
          <w:i w:val="false"/>
          <w:caps w:val="false"/>
          <w:smallCaps w:val="false"/>
          <w:sz w:val="20"/>
        </w:rPr>
        <w:t xml:space="preserve">. This increase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primarily attributed to the addition of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hardware retail stores and the acquisition of Morey in September 2025.</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Depreciation and amortization.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Depreciation and amortization accounted for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cost of revenues 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three months ended June 30, 2026, compared to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cost of revenues for the three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Depreciation and amortization was $98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compared to $78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$20 million, or 26%. This increase was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due to an increase in depreciable equipment expense on rental equipment due to an increase in average cost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owned equipment in our rental equipment, and a $2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in amortization expense on capitalized software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due to an increase in average capitalized costs related to the continued development of our T3 platform.</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Selling, general and administrative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Selling, general and administrative expenses were $317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 months ended June 30, 2026, compared to $229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of $88 million, or 38%. The increases in selling, general and administrative expenses were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attributed to our expansion of full-service branch locations and growth strategy. To support our expansion, we hired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592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additional staff resulting in an increase of $33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selling, general and administrative expense associated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with higher payroll, benefits and travel costs. </w:t>
      </w:r>
      <w:r>
        <w:rPr>
          <w:rFonts w:ascii="Times New Roman;serif" w:hAnsi="Times New Roman;serif"/>
          <w:b w:val="false"/>
          <w:i w:val="false"/>
          <w:caps w:val="false"/>
          <w:smallCaps w:val="false"/>
          <w:sz w:val="20"/>
        </w:rPr>
        <w:t xml:space="preserve">Our expansion of full-service locations also resulted in higher facilities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non-rental vehicles lease expense and associated costs of </w:t>
      </w:r>
      <w:r>
        <w:rPr>
          <w:rFonts w:ascii="Times New Roman;serif" w:hAnsi="Times New Roman;serif"/>
          <w:b w:val="false"/>
          <w:i w:val="false"/>
          <w:caps w:val="false"/>
          <w:smallCaps w:val="false"/>
          <w:strike w:val="false"/>
          <w:dstrike w:val="false"/>
          <w:sz w:val="20"/>
          <w:u w:val="none"/>
          <w:effect w:val="none"/>
        </w:rPr>
        <w:t xml:space="preserve">$11 million. </w:t>
      </w:r>
      <w:r>
        <w:rPr>
          <w:rFonts w:ascii="Times New Roman;serif" w:hAnsi="Times New Roman;serif"/>
          <w:b w:val="false"/>
          <w:i w:val="false"/>
          <w:caps w:val="false"/>
          <w:smallCaps w:val="false"/>
          <w:sz w:val="20"/>
        </w:rPr>
        <w:t xml:space="preserve">The growth of our business and expansion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full-service branch locations also increased administrative costs such as insurance, legal, professional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expenses and non-income based taxes by </w:t>
      </w:r>
      <w:r>
        <w:rPr>
          <w:rFonts w:ascii="Times New Roman;serif" w:hAnsi="Times New Roman;serif"/>
          <w:b w:val="false"/>
          <w:i w:val="false"/>
          <w:caps w:val="false"/>
          <w:smallCaps w:val="false"/>
          <w:strike w:val="false"/>
          <w:dstrike w:val="false"/>
          <w:sz w:val="20"/>
          <w:u w:val="none"/>
          <w:effect w:val="none"/>
        </w:rPr>
        <w:t>$3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other miscellaneous administrative expenses by $17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Additionally, increased s</w:t>
      </w:r>
      <w:r>
        <w:rPr>
          <w:rFonts w:ascii="Times New Roman;serif" w:hAnsi="Times New Roman;serif"/>
          <w:b w:val="false"/>
          <w:i w:val="false"/>
          <w:caps w:val="false"/>
          <w:smallCaps w:val="false"/>
          <w:sz w:val="20"/>
        </w:rPr>
        <w:t xml:space="preserve">tock-based compensation expense of </w:t>
      </w:r>
      <w:r>
        <w:rPr>
          <w:rFonts w:ascii="Times New Roman;serif" w:hAnsi="Times New Roman;serif"/>
          <w:b w:val="false"/>
          <w:i w:val="false"/>
          <w:caps w:val="false"/>
          <w:smallCaps w:val="false"/>
          <w:strike w:val="false"/>
          <w:dstrike w:val="false"/>
          <w:sz w:val="20"/>
          <w:u w:val="none"/>
          <w:effect w:val="none"/>
        </w:rPr>
        <w:t>$24 million</w:t>
      </w:r>
      <w:r>
        <w:rPr>
          <w:caps w:val="false"/>
          <w:smallCaps w:val="false"/>
          <w:sz w:val="24"/>
        </w:rPr>
        <w:t xml:space="preserve"> </w:t>
      </w:r>
      <w:r>
        <w:rPr>
          <w:rFonts w:ascii="Times New Roman;serif" w:hAnsi="Times New Roman;serif"/>
          <w:b w:val="false"/>
          <w:i w:val="false"/>
          <w:caps w:val="false"/>
          <w:smallCaps w:val="false"/>
          <w:sz w:val="20"/>
        </w:rPr>
        <w:t xml:space="preserve">was recorded primarily 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IPO Founders Awards </w:t>
      </w:r>
      <w:r>
        <w:rPr>
          <w:rFonts w:ascii="Times New Roman;serif" w:hAnsi="Times New Roman;serif"/>
          <w:b w:val="false"/>
          <w:i w:val="false"/>
          <w:caps w:val="false"/>
          <w:smallCaps w:val="false"/>
          <w:strike w:val="false"/>
          <w:dstrike w:val="false"/>
          <w:sz w:val="20"/>
          <w:u w:val="none"/>
          <w:effect w:val="none"/>
        </w:rPr>
        <w:t>for the three months ended June 30, 2026.</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Interest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Interest expense was $73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compared to $69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$4 million, or 6%. This increase was primarily due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an increase in average outstanding debt balances to fund our expansion strategy including purchases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for our fleet, partially offset by lower average interest rates under our asset-based revolving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 facilities.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Total other expense,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Total other expense, net was $61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$61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 The increase in interest expense of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three months ended June 30, 2026, compared to the three months ended June 30, 2025, was the result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higher average outstanding borrowing for the three months ended June 30, 2026, offset by higher miscellaneous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of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due to interest and dividend income and unrealized net gains, on various investments held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securities.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Provision for (benefit from) income taxes.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provision for income taxes was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2026, compared to a benefit from income taxes of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an increase in income tax expense of $27 million, or (208)%. The change in income tax expense is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due to an increase in operating income to $94 million for the three months ended June 30, 2026, as compared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income of $64 million for the three months ended June 30, 2025, applying the estimated annual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 rate for each period that reflects the expected full-year income and related tax expense. Differences between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applicable federal and state statutory tax rates and the effective income tax rates for the income tax benefit recorded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us are primarily due to nondeductible expenses and the Texas franchise tax, offset by research and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tax credits.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income increased by $3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net income of $16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 due to $30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higher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operating income, partially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offset by $27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higher income tax provision.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47</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Six Months Ended June 30, 2026</w:t>
      </w:r>
      <w:r>
        <w:rPr>
          <w:strike w:val="false"/>
          <w:dstrike w:val="false"/>
          <w:sz w:val="24"/>
          <w:u w:val="none"/>
          <w:effect w:val="none"/>
          <w:shd w:fill="FFFFFF" w:val="clear"/>
        </w:rPr>
        <w:t xml:space="preserve"> </w:t>
      </w:r>
      <w:r>
        <w:rPr>
          <w:rFonts w:ascii="Times New Roman;serif" w:hAnsi="Times New Roman;serif"/>
          <w:b/>
          <w:i/>
          <w:strike w:val="false"/>
          <w:dstrike w:val="false"/>
          <w:sz w:val="20"/>
          <w:u w:val="none"/>
          <w:effect w:val="none"/>
          <w:shd w:fill="FFFFFF" w:val="clear"/>
        </w:rPr>
        <w:t xml:space="preserve">Compared with </w:t>
      </w:r>
      <w:r>
        <w:rPr>
          <w:rFonts w:ascii="Times New Roman;serif" w:hAnsi="Times New Roman;serif"/>
          <w:b/>
          <w:i/>
          <w:strike w:val="false"/>
          <w:dstrike w:val="false"/>
          <w:sz w:val="20"/>
          <w:u w:val="none"/>
          <w:effect w:val="none"/>
        </w:rPr>
        <w:t>Six Months Ended June 30, 2025</w:t>
      </w:r>
    </w:p>
    <w:tbl>
      <w:tblPr>
        <w:tblW w:w="7412" w:type="dxa"/>
        <w:jc w:val="left"/>
        <w:tblInd w:w="0" w:type="dxa"/>
        <w:tblLayout w:type="fixed"/>
        <w:tblCellMar>
          <w:top w:w="28" w:type="dxa"/>
          <w:left w:w="28" w:type="dxa"/>
          <w:bottom w:w="28" w:type="dxa"/>
          <w:right w:w="28" w:type="dxa"/>
        </w:tblCellMar>
      </w:tblPr>
      <w:tblGrid>
        <w:gridCol w:w="4021"/>
        <w:gridCol w:w="676"/>
        <w:gridCol w:w="109"/>
        <w:gridCol w:w="676"/>
        <w:gridCol w:w="109"/>
        <w:gridCol w:w="796"/>
        <w:gridCol w:w="109"/>
        <w:gridCol w:w="916"/>
      </w:tblGrid>
      <w:tr>
        <w:trPr/>
        <w:tc>
          <w:tcPr>
            <w:tcW w:w="40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jc w:val="left"/>
              <w:rPr>
                <w:sz w:val="4"/>
                <w:szCs w:val="4"/>
              </w:rPr>
            </w:pPr>
            <w:r>
              <w:rPr>
                <w:sz w:val="4"/>
                <w:szCs w:val="4"/>
              </w:rPr>
            </w:r>
          </w:p>
        </w:tc>
        <w:tc>
          <w:tcPr>
            <w:tcW w:w="339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Change</w:t>
            </w:r>
          </w:p>
        </w:tc>
      </w:tr>
      <w:tr>
        <w:trPr/>
        <w:tc>
          <w:tcPr>
            <w:tcW w:w="4021" w:type="dxa"/>
            <w:tcBorders/>
            <w:vAlign w:val="center"/>
          </w:tcPr>
          <w:p>
            <w:pPr>
              <w:pStyle w:val="TableContents"/>
              <w:bidi w:val="0"/>
              <w:spacing w:before="0" w:after="283"/>
              <w:jc w:val="left"/>
              <w:rPr>
                <w:sz w:val="4"/>
                <w:szCs w:val="4"/>
              </w:rPr>
            </w:pPr>
            <w:r>
              <w:rPr>
                <w:sz w:val="4"/>
                <w:szCs w:val="4"/>
              </w:rPr>
            </w:r>
          </w:p>
        </w:tc>
        <w:tc>
          <w:tcPr>
            <w:tcW w:w="3391" w:type="dxa"/>
            <w:gridSpan w:val="7"/>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in millions)</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Revenues</w:t>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rental and related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parts and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Platform revenue:</w:t>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revenue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31%</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Cost of revenues</w:t>
            </w:r>
          </w:p>
        </w:tc>
        <w:tc>
          <w:tcPr>
            <w:tcW w:w="67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Direct operating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OWN Program payouts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Platform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cost of revenues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1,740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27%</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Gross profit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42%</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Selling, general and administrative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Operating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77%</w:t>
            </w:r>
          </w:p>
        </w:tc>
      </w:tr>
      <w:tr>
        <w:trPr/>
        <w:tc>
          <w:tcPr>
            <w:tcW w:w="40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income (expense):</w:t>
            </w:r>
          </w:p>
        </w:tc>
        <w:tc>
          <w:tcPr>
            <w:tcW w:w="67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income,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other expense, net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Loss before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r>
      <w:tr>
        <w:trPr/>
        <w:tc>
          <w:tcPr>
            <w:tcW w:w="40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Provision for (benefit from)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r>
      <w:tr>
        <w:trPr/>
        <w:tc>
          <w:tcPr>
            <w:tcW w:w="402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Net income (loss)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(69)%</w:t>
            </w:r>
          </w:p>
        </w:tc>
      </w:tr>
    </w:tbl>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Total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 revenue was $2,437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to $1,864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$573 million, or 31%. Our four sources of revenues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 the period are further discussed below:</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rental and related services.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Equipment rental and related services revenue accounted for 61%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revenue for the six months ended June 30, 2026, compared to 58%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six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Our equipment rental and related services revenue was $1,498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$1,072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$426 million, or 40%.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 $364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increase in equipment rental and related services revenue is driven by an increase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construction demand in the U.S., our strategy to increase our geographical presence, and value afforded our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customers from our T3 platform. Accordingly, w</w:t>
      </w:r>
      <w:r>
        <w:rPr>
          <w:rFonts w:ascii="Times New Roman;serif" w:hAnsi="Times New Roman;serif"/>
          <w:b w:val="false"/>
          <w:i w:val="false"/>
          <w:caps w:val="false"/>
          <w:smallCaps w:val="false"/>
          <w:sz w:val="20"/>
        </w:rPr>
        <w:t xml:space="preserve">e increased the number of our full-service equipment rental branch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locations from </w:t>
      </w:r>
      <w:r>
        <w:rPr>
          <w:rFonts w:ascii="Times New Roman;serif" w:hAnsi="Times New Roman;serif"/>
          <w:b w:val="false"/>
          <w:i w:val="false"/>
          <w:caps w:val="false"/>
          <w:smallCaps w:val="false"/>
          <w:strike w:val="false"/>
          <w:dstrike w:val="false"/>
          <w:sz w:val="20"/>
          <w:u w:val="none"/>
          <w:effect w:val="none"/>
        </w:rPr>
        <w:t>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w:t>
      </w:r>
      <w:r>
        <w:rPr>
          <w:caps w:val="false"/>
          <w:smallCaps w:val="false"/>
          <w:sz w:val="24"/>
        </w:rPr>
        <w:t xml:space="preserve"> </w:t>
      </w:r>
      <w:r>
        <w:rPr>
          <w:rFonts w:ascii="Times New Roman;serif" w:hAnsi="Times New Roman;serif"/>
          <w:b w:val="false"/>
          <w:i w:val="false"/>
          <w:caps w:val="false"/>
          <w:smallCaps w:val="false"/>
          <w:sz w:val="20"/>
        </w:rPr>
        <w:t xml:space="preserve">In addition, we grew our fleet OEC under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management </w:t>
      </w:r>
      <w:r>
        <w:rPr>
          <w:rFonts w:ascii="Times New Roman;serif" w:hAnsi="Times New Roman;serif"/>
          <w:b w:val="false"/>
          <w:i w:val="false"/>
          <w:caps w:val="false"/>
          <w:smallCaps w:val="false"/>
          <w:strike w:val="false"/>
          <w:dstrike w:val="false"/>
          <w:sz w:val="20"/>
          <w:u w:val="none"/>
          <w:effect w:val="none"/>
        </w:rPr>
        <w:t>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$9,851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and increased the size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our fleet from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to 280,699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of equipment under management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Changes in the mix of equipment rented and price changes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equipment rental and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services revenue by $62 million.</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Equipment sales revenue accounted for 27%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six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compared to 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six months ended June 30, 2025. Equipment sales revenue was $661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48</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compared to $624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 increase of $37 million, or 6%. The change was primarily due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 increase of $18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sales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to existing and new participants in our OWN Program, including third parties who have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financed equipment purchases through the issuance of ABS, and an increase of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sale of new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used equipment to contractors and other end users. As we increase the size of our OWN Program, transactions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 Program participants may result in a higher percentage of our revenue being attributable to an OWN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participant for the period during which one or more equipment sale transactions with such party occurred. We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experienced strong interest from participants in the OWN Program for construction equipment enabled by T3,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owners get real-time data on usage, health, and performance of the machines rented exclusively by EquipmentShare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re-rented to our customers. The OWN Program has allowed us to scale the fleet OEC under our management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order to meet customer demand for construction equipment enabled by T3.</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Equipment parts and supplies and services.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Equipment parts and supplies and services revenue accounted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revenue for the six months ended June 30, 2026, compared to 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parts and supplies and services revenue was $165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$128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$37 million, or 29%. This increase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primarily due to our expansion into new markets, resulting in additional full-service branch locations added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nationwide network, which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locations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locations as of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Equipment parts and supplies and services revenue increased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mature branch locations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primarily attributed to the expansion of our product and service offering in mature branch locations, and $20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new branch locations open less than 24 months as a result of the addition of 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full-service branch locations.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Platform revenue.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Platform revenue accounted for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six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revenue for the six months ended June 30, 2025. Platform revenue from telematics was $65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compared to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of $45 million, or 225%. This increase was primarily due to an increase in monthly subscriptions sold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T3 telematics services, an increase in equipment rented that is fully enabled with T3 telematics services, and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in revenues related to the sale of custom electronic components following our September 2025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controlling interests in Morey. Platform revenue from the sale of construction materials, building supplies,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hardware across our building materials and hardware retail stores was $48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r>
        <w:rPr>
          <w:rFonts w:ascii="Times New Roman;serif" w:hAnsi="Times New Roman;serif"/>
          <w:b w:val="false"/>
          <w:i w:val="false"/>
          <w:caps w:val="false"/>
          <w:smallCaps w:val="false"/>
          <w:sz w:val="20"/>
        </w:rPr>
        <w:t xml:space="preserve">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June 30, 2026</w:t>
      </w:r>
      <w:r>
        <w:rPr>
          <w:rFonts w:ascii="Times New Roman;serif" w:hAnsi="Times New Roman;serif"/>
          <w:b w:val="false"/>
          <w:i w:val="false"/>
          <w:caps w:val="false"/>
          <w:smallCaps w:val="false"/>
          <w:strike w:val="false"/>
          <w:dstrike w:val="false"/>
          <w:sz w:val="20"/>
          <w:u w:val="none"/>
          <w:effect w:val="none"/>
        </w:rPr>
        <w:t>, compared to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2025, an increase of $28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attributable to the addition of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building materials and hardware retail stores.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Cost of revenues</w:t>
      </w:r>
      <w:r>
        <w:rPr>
          <w:rFonts w:ascii="Times New Roman;serif" w:hAnsi="Times New Roman;serif"/>
          <w:b w:val="false"/>
          <w:i/>
          <w:strike w:val="false"/>
          <w:dstrike w:val="false"/>
          <w:sz w:val="20"/>
          <w:u w:val="none"/>
          <w:effect w:val="none"/>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Cost of revenues was $1,740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$1,372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2025, an increase of $368 million, or 27%.</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Direct operating costs.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Direct operating costs were $498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$353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$145 million, or 41%. The increase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direct operating costs is primarily due to the expansion of our footprint through the addition of 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full-service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branch locations, which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locations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locations as of June 30, 2026.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additional operating locations drove increases in wages and related benefits of $43 million, and logistics,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maintenance, and other site operating costs of $103 million.</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OWN Program payouts.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OWN Program payouts were $451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$328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$123 million, or 38%.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 $134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increase is attributed to the growth of the average fleet OEC under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enrolled in the OWN Program, which grew from $3,631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$5,109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2026, or 41%. Change</w:t>
      </w:r>
      <w:r>
        <w:rPr>
          <w:rFonts w:ascii="Times New Roman;serif" w:hAnsi="Times New Roman;serif"/>
          <w:b w:val="false"/>
          <w:i w:val="false"/>
          <w:caps w:val="false"/>
          <w:smallCaps w:val="false"/>
          <w:strike w:val="false"/>
          <w:dstrike w:val="false"/>
          <w:sz w:val="20"/>
          <w:u w:val="none"/>
          <w:effect w:val="none"/>
          <w:shd w:fill="FFFFFF" w:val="clear"/>
        </w:rPr>
        <w:t xml:space="preser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 demand for specific types of rental equipment and the mix of equipment rented partially offset the increase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OWN program payouts by </w:t>
      </w:r>
      <w:r>
        <w:rPr>
          <w:rFonts w:ascii="Times New Roman;serif" w:hAnsi="Times New Roman;serif"/>
          <w:b w:val="false"/>
          <w:i w:val="false"/>
          <w:caps w:val="false"/>
          <w:smallCaps w:val="false"/>
          <w:strike w:val="false"/>
          <w:dstrike w:val="false"/>
          <w:sz w:val="20"/>
          <w:u w:val="none"/>
          <w:effect w:val="none"/>
        </w:rPr>
        <w:t>$11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 cost of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Equipment sales cost of revenues was $540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compared to $524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$16 million, or 3%.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This increase was primarily due to an increase of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equipment sales to contractors and other end users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due to our ability to reach a greater customer base through our expansion of full-service branch locations,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49</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 partially offset by a decrease of $4 million</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equipment sales cost of revenues for sales to existing and new participants in the OWN Program.</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Platform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Platform expense was $63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to $19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2025, an increase of $44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232%</w:t>
      </w:r>
      <w:r>
        <w:rPr>
          <w:rFonts w:ascii="Times New Roman;serif" w:hAnsi="Times New Roman;serif"/>
          <w:b w:val="false"/>
          <w:i w:val="false"/>
          <w:caps w:val="false"/>
          <w:smallCaps w:val="false"/>
          <w:sz w:val="20"/>
        </w:rPr>
        <w:t>. This increase 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attributed to the addition of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hardware retail stores and the acquisition of Morey in September 2025.</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Depreciation and amortization.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Depreciation and amortization accounted for 11%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cost of revenues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six months ended June 30, 2026, compared to 11%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cost of revenues for the six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Depreciation and amortization was $188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to $148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$40 million, or 27%. This increase was primarily due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an increase in depreciable equipment expense on rental equipment due to an increase in average cost of owned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in our rental equipment, and a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in amortization expense on capitalized software due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 increase in average capitalized costs related to the continued development of our T3 platform.</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Selling, general and administrative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Selling, general and administrative expenses were $603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six months ended June 30, 2026, compared to $439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of $164 million, or 37%. The increases in selling, general and administrative expenses were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attributed to our expansion of full-service branch locations and growth strategy. To support our expansion, we hired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592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additional staff resulting in an increase of $60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selling, general and administrative expense associated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with higher payroll, benefits and travel costs. </w:t>
      </w:r>
      <w:r>
        <w:rPr>
          <w:rFonts w:ascii="Times New Roman;serif" w:hAnsi="Times New Roman;serif"/>
          <w:b w:val="false"/>
          <w:i w:val="false"/>
          <w:caps w:val="false"/>
          <w:smallCaps w:val="false"/>
          <w:sz w:val="20"/>
        </w:rPr>
        <w:t xml:space="preserve">Our expansion of full-service locations also resulted in higher facilities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non-rental vehicles lease expense and associated costs of </w:t>
      </w:r>
      <w:r>
        <w:rPr>
          <w:rFonts w:ascii="Times New Roman;serif" w:hAnsi="Times New Roman;serif"/>
          <w:b w:val="false"/>
          <w:i w:val="false"/>
          <w:caps w:val="false"/>
          <w:smallCaps w:val="false"/>
          <w:strike w:val="false"/>
          <w:dstrike w:val="false"/>
          <w:sz w:val="20"/>
          <w:u w:val="none"/>
          <w:effect w:val="none"/>
        </w:rPr>
        <w:t xml:space="preserve">$22 million. </w:t>
      </w:r>
      <w:r>
        <w:rPr>
          <w:rFonts w:ascii="Times New Roman;serif" w:hAnsi="Times New Roman;serif"/>
          <w:b w:val="false"/>
          <w:i w:val="false"/>
          <w:caps w:val="false"/>
          <w:smallCaps w:val="false"/>
          <w:sz w:val="20"/>
        </w:rPr>
        <w:t xml:space="preserve">The growth of our business and expansion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full-service branch locations also increased administrative costs such as insurance, legal, professional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expenses and non-income based taxes by </w:t>
      </w:r>
      <w:r>
        <w:rPr>
          <w:rFonts w:ascii="Times New Roman;serif" w:hAnsi="Times New Roman;serif"/>
          <w:b w:val="false"/>
          <w:i w:val="false"/>
          <w:caps w:val="false"/>
          <w:smallCaps w:val="false"/>
          <w:strike w:val="false"/>
          <w:dstrike w:val="false"/>
          <w:sz w:val="20"/>
          <w:u w:val="none"/>
          <w:effect w:val="none"/>
        </w:rPr>
        <w:t>$10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other miscellaneous administrative expenses by $29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Additionally, increased s</w:t>
      </w:r>
      <w:r>
        <w:rPr>
          <w:rFonts w:ascii="Times New Roman;serif" w:hAnsi="Times New Roman;serif"/>
          <w:b w:val="false"/>
          <w:i w:val="false"/>
          <w:caps w:val="false"/>
          <w:smallCaps w:val="false"/>
          <w:sz w:val="20"/>
        </w:rPr>
        <w:t xml:space="preserve">tock-based compensation expense of </w:t>
      </w:r>
      <w:r>
        <w:rPr>
          <w:rFonts w:ascii="Times New Roman;serif" w:hAnsi="Times New Roman;serif"/>
          <w:b w:val="false"/>
          <w:i w:val="false"/>
          <w:caps w:val="false"/>
          <w:smallCaps w:val="false"/>
          <w:strike w:val="false"/>
          <w:dstrike w:val="false"/>
          <w:sz w:val="20"/>
          <w:u w:val="none"/>
          <w:effect w:val="none"/>
        </w:rPr>
        <w:t>$43 million</w:t>
      </w:r>
      <w:r>
        <w:rPr>
          <w:caps w:val="false"/>
          <w:smallCaps w:val="false"/>
          <w:sz w:val="24"/>
        </w:rPr>
        <w:t xml:space="preserve"> </w:t>
      </w:r>
      <w:r>
        <w:rPr>
          <w:rFonts w:ascii="Times New Roman;serif" w:hAnsi="Times New Roman;serif"/>
          <w:b w:val="false"/>
          <w:i w:val="false"/>
          <w:caps w:val="false"/>
          <w:smallCaps w:val="false"/>
          <w:sz w:val="20"/>
        </w:rPr>
        <w:t xml:space="preserve">was recorded primarily 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IPO Founders Awards </w:t>
      </w:r>
      <w:r>
        <w:rPr>
          <w:rFonts w:ascii="Times New Roman;serif" w:hAnsi="Times New Roman;serif"/>
          <w:b w:val="false"/>
          <w:i w:val="false"/>
          <w:caps w:val="false"/>
          <w:smallCaps w:val="false"/>
          <w:strike w:val="false"/>
          <w:dstrike w:val="false"/>
          <w:sz w:val="20"/>
          <w:u w:val="none"/>
          <w:effect w:val="none"/>
        </w:rPr>
        <w:t>for the six months ended June 30, 2026.</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Interest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Interest expense was $143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to $131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$12 million, or 9%. This increase was primarily due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an increase in average outstanding debt balances to fund our expansion strategy including purchases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for our fleet, partially offset by lower average interest rates under our asset-based revolving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 facilities.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Total other expense, net.</w:t>
      </w:r>
      <w:r>
        <w:rPr>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Total other expense, net was $123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compared to $117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$6 million, or 5%. This increase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primarily due to higher interest expense of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six months ended June 30, 2025, resulting from our higher average outstanding borrowing for the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partially offset by higher miscellaneous income of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due to interest and dividend income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unrealized net gains, on various investments held in equity securities.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Provision for (benefit from) income taxes.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benefit for income taxes was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2026, compared to $32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 decrease of $13 million,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41%. The change in the benefit from income taxes is primarily due to an increase in operating income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$94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six months ended June 30, 2026, as compared to operating income of $53 million for the six months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2025, applying the estimated annual effective tax rate for each period that reflects the expected full-year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and related tax expense. Differences between applicable federal and state statutory tax rates and the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tax rates for the income tax benefit recorded by us are primarily due to nondeductible expenses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Texas franchise tax, offset by research and development tax credits.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loss decreased by $22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a net loss of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r>
        <w:rPr>
          <w:rFonts w:ascii="Times New Roman;serif" w:hAnsi="Times New Roman;serif"/>
          <w:b w:val="false"/>
          <w:i w:val="false"/>
          <w:caps w:val="false"/>
          <w:smallCaps w:val="false"/>
          <w:sz w:val="20"/>
        </w:rPr>
        <w:t xml:space="preserve">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June 30, 2026</w:t>
      </w:r>
      <w:r>
        <w:rPr>
          <w:rFonts w:ascii="Times New Roman;serif" w:hAnsi="Times New Roman;serif"/>
          <w:b w:val="false"/>
          <w:i w:val="false"/>
          <w:caps w:val="false"/>
          <w:smallCaps w:val="false"/>
          <w:strike w:val="false"/>
          <w:dstrike w:val="false"/>
          <w:sz w:val="20"/>
          <w:u w:val="none"/>
          <w:effect w:val="none"/>
        </w:rPr>
        <w:t>, as compared to net loss of $32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2025, due to $41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higher operating income, partially offset by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higher total other expense, net and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lower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 tax benefit.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50</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Key</w:t>
      </w:r>
      <w:bookmarkStart w:id="3" w:name="ic202d68399c24f4f88f0e4a07b59dae4_6095"/>
      <w:bookmarkEnd w:id="3"/>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Performance Metrics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regularly review a number of financial measurements and operating metrics to evaluate our operating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measure our growth and make strategic investment decisions. In addition to traditional U.S. generally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accepted accounting principles (“U.S. GAAP”) performance measures, such as total revenue and net income, we 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supplemental performance operating metrics such as OEC Under Management, and the non-GAAP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measure EBITDA.</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Non-GAAP Financial Measure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refer in this Form 10-Q to EBITDA, a non-GAAP financial measure that is not prepared in accordance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 GAAP. This non-GAAP financial measure should be considered supplemental to and is not a substitute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information prepared in accordance with U.S. GAAP. Our use of the term EBITDA may vary from the 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similar terms by other companies in our industry and accordingly may not be comparable to similarly titled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measures used by other companies.</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EBITDA.</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EBITDA is a key metric used by management and our Board to assess our financial performance.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define EBITDA as net income before interest expense, income taxes, depreciation and amortization and non-cash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compensation expense, which we believe, when excluded, provide investors with a useful representation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ongoing operations and performance. Certain items excluded from EBITDA are significant components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understanding and assessing a company’s financial performance, such as a company’s cost of capital and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structure, as well as the historic costs of depreciable assets, none of which are reflected in EBITDA.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presentation of EBITDA should not be construed as an indication that results will be unaffected by the items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excluded from EBITDA.</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table below reconciles net income to EBITDA for each of the periods indicated:</w:t>
      </w:r>
    </w:p>
    <w:tbl>
      <w:tblPr>
        <w:tblW w:w="7504" w:type="dxa"/>
        <w:jc w:val="left"/>
        <w:tblInd w:w="0" w:type="dxa"/>
        <w:tblLayout w:type="fixed"/>
        <w:tblCellMar>
          <w:top w:w="28" w:type="dxa"/>
          <w:left w:w="28" w:type="dxa"/>
          <w:bottom w:w="28" w:type="dxa"/>
          <w:right w:w="28" w:type="dxa"/>
        </w:tblCellMar>
      </w:tblPr>
      <w:tblGrid>
        <w:gridCol w:w="3016"/>
        <w:gridCol w:w="1026"/>
        <w:gridCol w:w="212"/>
        <w:gridCol w:w="1026"/>
        <w:gridCol w:w="109"/>
        <w:gridCol w:w="926"/>
        <w:gridCol w:w="186"/>
        <w:gridCol w:w="1003"/>
      </w:tblGrid>
      <w:tr>
        <w:trPr/>
        <w:tc>
          <w:tcPr>
            <w:tcW w:w="301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2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86" w:type="dxa"/>
            <w:tcBorders/>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4488" w:type="dxa"/>
            <w:gridSpan w:val="7"/>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30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Net income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1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r>
      <w:tr>
        <w:trPr/>
        <w:tc>
          <w:tcPr>
            <w:tcW w:w="3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 for (benefit from) income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1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r>
      <w:tr>
        <w:trPr/>
        <w:tc>
          <w:tcPr>
            <w:tcW w:w="3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and amortization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1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w:t>
            </w:r>
          </w:p>
        </w:tc>
      </w:tr>
      <w:tr>
        <w:trPr/>
        <w:tc>
          <w:tcPr>
            <w:tcW w:w="30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1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r>
      <w:tr>
        <w:trPr/>
        <w:tc>
          <w:tcPr>
            <w:tcW w:w="3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Non-cash stock compensation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3016"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EBITDA</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$245</w:t>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$375</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$236</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(1)Represents non-cash compensation expense for stock option and other stock-based awards.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Other Key Financial Metrics</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Equipment Rental Segment Adjusted EBITDA and Equipment Rental Segment Adjusted EBITDA Margin.</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Segment Adjusted EBITDA and Equipment Rental Segment Adjusted EBITDA Margin are key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metrics used by management and our Board to assess the financial performance of our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and Services Operations segment. Equipment Rental Segment Adjusted EBITDA is the profitability measure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used by management to evaluate our Equipment Rental and Services Operations segment, disclosed in accordance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with the requirements of ASC Topic 280, </w:t>
      </w:r>
      <w:r>
        <w:rPr>
          <w:rFonts w:ascii="Times New Roman;serif" w:hAnsi="Times New Roman;serif"/>
          <w:b w:val="false"/>
          <w:i/>
          <w:strike w:val="false"/>
          <w:dstrike w:val="false"/>
          <w:sz w:val="20"/>
          <w:u w:val="none"/>
          <w:effect w:val="none"/>
        </w:rPr>
        <w:t>Segment Reporting</w:t>
      </w:r>
      <w:r>
        <w:rPr>
          <w:rFonts w:ascii="Times New Roman;serif" w:hAnsi="Times New Roman;serif"/>
          <w:b w:val="false"/>
          <w:i w:val="false"/>
          <w:caps w:val="false"/>
          <w:smallCaps w:val="false"/>
          <w:strike w:val="false"/>
          <w:dstrike w:val="false"/>
          <w:sz w:val="20"/>
          <w:u w:val="none"/>
          <w:effect w:val="none"/>
        </w:rPr>
        <w:t xml:space="preserve">, (“Topic 280”). Equipment Rental Segment Adjusted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EBITDA Margin is Equipment Rental Segment Adjusted EBITDA divided by Equipment Rental and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Operations Segment total revenues.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51</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below table presents our Equipment Rental Segment Adjusted EBITDA and Equipment Rental Segment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Adjusted EBITDA Margin for each of the periods indicated.</w:t>
      </w:r>
    </w:p>
    <w:tbl>
      <w:tblPr>
        <w:tblW w:w="6888" w:type="dxa"/>
        <w:jc w:val="left"/>
        <w:tblInd w:w="0" w:type="dxa"/>
        <w:tblLayout w:type="fixed"/>
        <w:tblCellMar>
          <w:top w:w="28" w:type="dxa"/>
          <w:left w:w="28" w:type="dxa"/>
          <w:bottom w:w="28" w:type="dxa"/>
          <w:right w:w="28" w:type="dxa"/>
        </w:tblCellMar>
      </w:tblPr>
      <w:tblGrid>
        <w:gridCol w:w="2401"/>
        <w:gridCol w:w="1026"/>
        <w:gridCol w:w="212"/>
        <w:gridCol w:w="1026"/>
        <w:gridCol w:w="109"/>
        <w:gridCol w:w="922"/>
        <w:gridCol w:w="191"/>
        <w:gridCol w:w="1001"/>
      </w:tblGrid>
      <w:tr>
        <w:trPr/>
        <w:tc>
          <w:tcPr>
            <w:tcW w:w="240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01" w:type="dxa"/>
            <w:tcBorders/>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2401" w:type="dxa"/>
            <w:tcBorders/>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2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2401" w:type="dxa"/>
            <w:tcBorders/>
            <w:vAlign w:val="center"/>
          </w:tcPr>
          <w:p>
            <w:pPr>
              <w:pStyle w:val="TableContents"/>
              <w:bidi w:val="0"/>
              <w:spacing w:before="0" w:after="283"/>
              <w:jc w:val="left"/>
              <w:rPr>
                <w:sz w:val="4"/>
                <w:szCs w:val="4"/>
              </w:rPr>
            </w:pPr>
            <w:r>
              <w:rPr>
                <w:sz w:val="4"/>
                <w:szCs w:val="4"/>
              </w:rPr>
            </w:r>
          </w:p>
        </w:tc>
        <w:tc>
          <w:tcPr>
            <w:tcW w:w="4487" w:type="dxa"/>
            <w:gridSpan w:val="7"/>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24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Segment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Adjusted EBITDA</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$389</w:t>
            </w:r>
          </w:p>
        </w:tc>
        <w:tc>
          <w:tcPr>
            <w:tcW w:w="21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$713</w:t>
            </w:r>
          </w:p>
        </w:tc>
        <w:tc>
          <w:tcPr>
            <w:tcW w:w="1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r>
      <w:tr>
        <w:trPr/>
        <w:tc>
          <w:tcPr>
            <w:tcW w:w="24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Rental Segment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Adjusted EBITDA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Margin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1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91"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(1)Equipment Rental Segment Adjusted EBITDA includes direct operating costs (excluding equipment and vehicle operating lease expense)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and selling, general, and administrative expenses (excluding depreciation expense related to our property and other fixed assets). Equipment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and vehicle operating lease expense was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2025, respectively, and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2025, respectively. Depreciation expense related to our property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and other fixed assets was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respectively, and $27 million</w:t>
      </w:r>
      <w:r>
        <w:rPr>
          <w:caps w:val="false"/>
          <w:smallCaps w:val="false"/>
          <w:strike w:val="false"/>
          <w:dstrike w:val="false"/>
          <w:sz w:val="24"/>
          <w:u w:val="none"/>
          <w:effect w:val="none"/>
        </w:rPr>
        <w:t xml:space="preserve">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and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2025, respectively. Equipment Rental Segment Adjusted EBITDA also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excludes operating expenses related to OWN Program payouts, depreciation expense on rental equipment, and amortization expense on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capitalized software and intangible assets. OWN Program payouts, depreciation expense on rental equipment, and amortization expense on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capitalized software and intangible assets was $234 million, $91 million, and $8 million, respectively, for the three months ended June 30,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2026, and $451 million, $173 million, and $16 million, respectively, for the six months ended June 30, 2026, and $173 million, $72 million,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and $5 million, respectively, for the three months ended June 30, 2025, and $328 million, $139 million, and $9 million, respectively, for the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six months ended June 30, 2025. For additional information, see Note 18. Segments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in this Form 10-Q, for the three and six months ended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June 30, 2026. </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OEC Under Management.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 substantial portion of our overall value is in our rental fleet equipment, including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support vehicles and trailers. The OEC of our owned rental equipment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$4,235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$3,306 million, respectively, or approximately 43%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45%, respectively, of total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OEC under our management. At June 30, 2026, the appraised value of the rental equipment owned by 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Program participants was $4,090 million. Our broader managed equipment rental fleet from which we support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generate our equipment rental revenue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280,699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units having an OEC of $9,851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an average age of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and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units having an OEC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an average age of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Fleet Composition.</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Our equipment rental fleet from which we support and generate our equipment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revenue is summarized in the tables below: </w:t>
      </w:r>
    </w:p>
    <w:tbl>
      <w:tblPr>
        <w:tblW w:w="6902" w:type="dxa"/>
        <w:jc w:val="left"/>
        <w:tblInd w:w="0" w:type="dxa"/>
        <w:tblLayout w:type="fixed"/>
        <w:tblCellMar>
          <w:top w:w="28" w:type="dxa"/>
          <w:left w:w="28" w:type="dxa"/>
          <w:bottom w:w="28" w:type="dxa"/>
          <w:right w:w="28" w:type="dxa"/>
        </w:tblCellMar>
      </w:tblPr>
      <w:tblGrid>
        <w:gridCol w:w="3541"/>
        <w:gridCol w:w="781"/>
        <w:gridCol w:w="109"/>
        <w:gridCol w:w="616"/>
        <w:gridCol w:w="109"/>
        <w:gridCol w:w="976"/>
        <w:gridCol w:w="109"/>
        <w:gridCol w:w="661"/>
      </w:tblGrid>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336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OEC</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Units</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EquipmentShare Owned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189,961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OWN Program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89,775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280,699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$9,851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r>
    </w:tbl>
    <w:tbl>
      <w:tblPr>
        <w:tblW w:w="6902" w:type="dxa"/>
        <w:jc w:val="left"/>
        <w:tblInd w:w="0" w:type="dxa"/>
        <w:tblLayout w:type="fixed"/>
        <w:tblCellMar>
          <w:top w:w="28" w:type="dxa"/>
          <w:left w:w="28" w:type="dxa"/>
          <w:bottom w:w="28" w:type="dxa"/>
          <w:right w:w="28" w:type="dxa"/>
        </w:tblCellMar>
      </w:tblPr>
      <w:tblGrid>
        <w:gridCol w:w="3541"/>
        <w:gridCol w:w="781"/>
        <w:gridCol w:w="109"/>
        <w:gridCol w:w="616"/>
        <w:gridCol w:w="109"/>
        <w:gridCol w:w="976"/>
        <w:gridCol w:w="109"/>
        <w:gridCol w:w="661"/>
      </w:tblGrid>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336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OEC</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Units</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EquipmentShare Owned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OWN Program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66,213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218,035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$7,360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tbl>
      <w:tblPr>
        <w:tblW w:w="6902" w:type="dxa"/>
        <w:jc w:val="left"/>
        <w:tblInd w:w="0" w:type="dxa"/>
        <w:tblLayout w:type="fixed"/>
        <w:tblCellMar>
          <w:top w:w="28" w:type="dxa"/>
          <w:left w:w="28" w:type="dxa"/>
          <w:bottom w:w="28" w:type="dxa"/>
          <w:right w:w="28" w:type="dxa"/>
        </w:tblCellMar>
      </w:tblPr>
      <w:tblGrid>
        <w:gridCol w:w="3541"/>
        <w:gridCol w:w="781"/>
        <w:gridCol w:w="109"/>
        <w:gridCol w:w="616"/>
        <w:gridCol w:w="109"/>
        <w:gridCol w:w="976"/>
        <w:gridCol w:w="109"/>
        <w:gridCol w:w="661"/>
      </w:tblGrid>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336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OEC</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Units</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EquipmentShare Owned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170,704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OWN Program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80,482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Total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252,252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$8,780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r>
    </w:tbl>
    <w:tbl>
      <w:tblPr>
        <w:tblW w:w="6902" w:type="dxa"/>
        <w:jc w:val="left"/>
        <w:tblInd w:w="0" w:type="dxa"/>
        <w:tblLayout w:type="fixed"/>
        <w:tblCellMar>
          <w:top w:w="28" w:type="dxa"/>
          <w:left w:w="28" w:type="dxa"/>
          <w:bottom w:w="28" w:type="dxa"/>
          <w:right w:w="28" w:type="dxa"/>
        </w:tblCellMar>
      </w:tblPr>
      <w:tblGrid>
        <w:gridCol w:w="3541"/>
        <w:gridCol w:w="781"/>
        <w:gridCol w:w="109"/>
        <w:gridCol w:w="616"/>
        <w:gridCol w:w="109"/>
        <w:gridCol w:w="976"/>
        <w:gridCol w:w="109"/>
        <w:gridCol w:w="661"/>
      </w:tblGrid>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336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OEC</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of</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Units</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EquipmentShare Owned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OWN Program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58,360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r>
      <w:tr>
        <w:trPr/>
        <w:tc>
          <w:tcPr>
            <w:tcW w:w="35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35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Total </w:t>
            </w:r>
            <w:r>
              <w:rPr>
                <w:rFonts w:ascii="Times New Roman;serif" w:hAnsi="Times New Roman;serif"/>
                <w:b w:val="false"/>
                <w:i w:val="false"/>
                <w:caps w:val="false"/>
                <w:smallCaps w:val="false"/>
                <w:strike w:val="false"/>
                <w:dstrike w:val="false"/>
                <w:color w:val="B4B4B4"/>
                <w:sz w:val="20"/>
                <w:u w:val="none"/>
                <w:effect w:val="none"/>
              </w:rPr>
              <w:t>.............................................................</w:t>
            </w:r>
          </w:p>
        </w:tc>
        <w:tc>
          <w:tcPr>
            <w:tcW w:w="7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194,462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$6,601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diversity of equipment in our rental fleet is monitored and carefully balanced to give us the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relocate equipment across regions to support increased regional industrial or construction activity and enhance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overall utilization. For example, certain categories of our equipment supporting industrial construction can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efficiently be re-located to infrastructure projects.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December 31, 2025, 84%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85%</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rental fleet consists of general rental construction equipment, which includes our core rental equipment of boom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lifts, telehandlers, earth moving, scissor lifts, and excavators, respectively, and 16%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rental fleet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consists of specialty equipment, which includes advanced solutions, industrial tooling, and other non-core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rental equipment mix among our general rental and specialty equipment categories was largely consistent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each year as a percentage of total units available for rent and as a percentage of OEC.</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net book value of our rental equipment, see Note 5. Rental Equipment, Net in this Form 10-Q,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Business</w:t>
      </w:r>
      <w:bookmarkStart w:id="4" w:name="id395c3e4d7754b15a5ad94af25a5f21d_10662"/>
      <w:bookmarkEnd w:id="4"/>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Segments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operate our business through the following reportable segments: (i) Equipment Rental and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comprised of recurring activity performed at our full-service branch locations, such as equipment rentals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related services (including allocated telematics revenue related to rental customer access to the T3 platform),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sales of parts, supplies and maintenance services to construction contractors and others, and (ii)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comprised of sales by us of new or used equipment made at any of our branch locations and dealership sites,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equipment sales to participants in the OWN Program. All other business activities include telematics SaaS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subscriptions, software applications, and related telematics devices purchased by customers for their owned fleet,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well as building materials and hardware supplies. These segments are based upon how we allocate resources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 performance. For additional information about our business segments, see Note 18. Segments in this 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10-Q, for the three and six months ended June 30, 2026.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Equipment Rental and Services 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core service is the rental of equipment to customers on a daily, weekly, and monthly basis, enabled by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T3 platform. The equipment we rent includes (i) company-owned equipment, (ii) equipment that is leased to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month-to-month or longer-term arrangements from participants in our OWN Program, and (iii)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owned by other third parties and leased to us under operating leases. We generate rental revenue by renting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owned by us or owned by others and re-renting the equipment to our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53</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equipment rental revenue, we also generate revenue from the sale of RPP services designed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protect our customers from potential damage or loss to the equipment during the rental period, environmental fees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assessed on the rental asset, and fuel recovery fees that we charge to our rental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an integral part of our Equipment Rental and Services Operations segment, we sell equipment parts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supplies and provide maintenance and repair services to customers, as well as the owners of equipment who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participants in our OWN Program. We generate revenue from the provision of ad hoc and preventative maintenance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repair services to our customers. We also provide warranty repair services on behalf of OEMs in order to fulfill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warranty extended by the OEMs to customers. Revenue that we generate from warranty repair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represents compensation for the service performed by us.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principal costs and expenses associated with the Equipment Rental and Services Operations segment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 (i) segment direct operating costs incurred across our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full-service branch locations and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dealership sites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excluding operating expenses related to OWN Program payouts and equipment and vehicle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lease expense; and (ii) segment selling, general and administrative expenses, excluding depreciation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 related to the property and other fixed assets. Direct operating costs include the costs incurred at our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branch locations that collectively support our Equipment Rental and Services Operations segment, including, but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limited to, wages and related benefits, service costs in connection with our rental equipment, site operating costs,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pickup and delivery expenses in connection with rental equipment, maintenance, fuel, parts, and supplies.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Equipment Sales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Through our Equipment Sales segment, we manage retail processes to sell new and used equipment. We sell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used equipment assets to participants in our OWN Program, including third parties who have financed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purchases through the issuance of ABS. We also sell new and used equipment to others through a variety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channels, including retail sales, wholesalers, brokered sales, and auctions. Our principal costs and expenses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associated with the Equipment Sales segment include the OEC, or purchase cost, of the equipment that we sell when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act as the principal in the transaction. When we act as the agent in the transaction, the purchase cost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that we sell is presented net of the equipment sales revenue.</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All Other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 other business activities, which include telematics SaaS subscriptions, software applications, and the design,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manufacture, and sale of custom electronic components, including telematics devices and cloud-based access control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keypads purchased by customers for their owned fleet, as well as building materials and hardware supplies,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included in “All Other.”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54</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tables present information about our reportable segments for the three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w:t>
      </w:r>
    </w:p>
    <w:tbl>
      <w:tblPr>
        <w:tblW w:w="8132" w:type="dxa"/>
        <w:jc w:val="left"/>
        <w:tblInd w:w="0" w:type="dxa"/>
        <w:tblLayout w:type="fixed"/>
        <w:tblCellMar>
          <w:top w:w="28" w:type="dxa"/>
          <w:left w:w="28" w:type="dxa"/>
          <w:bottom w:w="28" w:type="dxa"/>
          <w:right w:w="28" w:type="dxa"/>
        </w:tblCellMar>
      </w:tblPr>
      <w:tblGrid>
        <w:gridCol w:w="4411"/>
        <w:gridCol w:w="946"/>
        <w:gridCol w:w="109"/>
        <w:gridCol w:w="931"/>
        <w:gridCol w:w="109"/>
        <w:gridCol w:w="796"/>
        <w:gridCol w:w="109"/>
        <w:gridCol w:w="721"/>
      </w:tblGrid>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372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 2026</w:t>
            </w:r>
          </w:p>
        </w:tc>
      </w:tr>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Rental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Services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Operations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Sales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All 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Total</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$903</w:t>
            </w:r>
          </w:p>
        </w:tc>
      </w:tr>
      <w:tr>
        <w:trPr/>
        <w:tc>
          <w:tcPr>
            <w:tcW w:w="44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of building materials, small tools, and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hardware 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revenues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$1,449</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expenses:</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Segment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Segment Adjusted EBITDA</w:t>
            </w:r>
            <w:r>
              <w:rPr>
                <w:rFonts w:ascii="Times New Roman;serif" w:hAnsi="Times New Roman;serif"/>
                <w:b/>
                <w:i w:val="false"/>
                <w:caps w:val="false"/>
                <w:smallCaps w:val="false"/>
                <w:strike w:val="false"/>
                <w:dstrike w:val="false"/>
                <w:sz w:val="13"/>
                <w:u w:val="none"/>
                <w:effect w:val="none"/>
              </w:rPr>
              <w:t>(1)</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bl>
    <w:tbl>
      <w:tblPr>
        <w:tblW w:w="8132" w:type="dxa"/>
        <w:jc w:val="left"/>
        <w:tblInd w:w="0" w:type="dxa"/>
        <w:tblLayout w:type="fixed"/>
        <w:tblCellMar>
          <w:top w:w="28" w:type="dxa"/>
          <w:left w:w="28" w:type="dxa"/>
          <w:bottom w:w="28" w:type="dxa"/>
          <w:right w:w="28" w:type="dxa"/>
        </w:tblCellMar>
      </w:tblPr>
      <w:tblGrid>
        <w:gridCol w:w="4411"/>
        <w:gridCol w:w="946"/>
        <w:gridCol w:w="109"/>
        <w:gridCol w:w="931"/>
        <w:gridCol w:w="109"/>
        <w:gridCol w:w="796"/>
        <w:gridCol w:w="109"/>
        <w:gridCol w:w="721"/>
      </w:tblGrid>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372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 2025</w:t>
            </w:r>
          </w:p>
        </w:tc>
      </w:tr>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Rental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Services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Operations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Sales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All 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Total</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w:t>
            </w:r>
          </w:p>
        </w:tc>
      </w:tr>
      <w:tr>
        <w:trPr/>
        <w:tc>
          <w:tcPr>
            <w:tcW w:w="44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44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of building materials, small tools, and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hardware 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$1,147</w:t>
            </w:r>
          </w:p>
        </w:tc>
      </w:tr>
      <w:tr>
        <w:trPr/>
        <w:tc>
          <w:tcPr>
            <w:tcW w:w="44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Significant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Segment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Segment Adjusted EBITDA</w:t>
            </w:r>
            <w:r>
              <w:rPr>
                <w:rFonts w:ascii="Times New Roman;serif" w:hAnsi="Times New Roman;serif"/>
                <w:b w:val="false"/>
                <w:i w:val="false"/>
                <w:caps w:val="false"/>
                <w:smallCaps w:val="false"/>
                <w:strike w:val="false"/>
                <w:dstrike w:val="false"/>
                <w:sz w:val="13"/>
                <w:u w:val="none"/>
                <w:effect w:val="none"/>
              </w:rPr>
              <w:t xml:space="preserve">(1)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(1)Segment Adjusted EBITDA includes cost of revenues and selling, general, and administrative expenses for each segment. Cost of revenues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for the Equipment Rental and Services Operations segment includes direct operating costs, excluding equipment and vehicle operating lease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expense. Equipment and vehicle operating lease expense was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respectively. Cost of revenues for the Equipment Sales segment includes the cost of equipment sales. Cost of revenues for all other activities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includes platform expenses. Segment Adjusted EBITDA also excludes operating expenses related to OWN Program payouts, depreciation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expense on rental equipment, and amortization expense on capitalized software and intangible assets. These excluded expenses are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significant: OWN Program payouts, depreciation expense on rental equipment, and amortization expense on capitalized software and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intangible assets was $234 million, $91 million, and $8 million, respectively, for the three months ended June 30, 2026, $173 million, $72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million, and $5 million, respectively, for the three months ended June 30, 2025. Selling, general and administrative expenses for each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segment exclude depreciation expense related to our property and other fixed assets. Depreciation expense related to our property and other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fixed assets was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2025, respectively. For additional information,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see Note 18. Segments in this Form 10-Q, for the three and six months ended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55</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Three Months Ended June 30, 2026</w:t>
      </w:r>
      <w:r>
        <w:rPr>
          <w:strike w:val="false"/>
          <w:dstrike w:val="false"/>
          <w:sz w:val="24"/>
          <w:u w:val="none"/>
          <w:effect w:val="none"/>
        </w:rPr>
        <w:t xml:space="preserve"> </w:t>
      </w:r>
      <w:r>
        <w:rPr>
          <w:rFonts w:ascii="Times New Roman;serif" w:hAnsi="Times New Roman;serif"/>
          <w:b/>
          <w:i/>
          <w:strike w:val="false"/>
          <w:dstrike w:val="false"/>
          <w:sz w:val="20"/>
          <w:u w:val="none"/>
          <w:effect w:val="none"/>
        </w:rPr>
        <w:t>Compared with Three Months Ended June 30, 2025</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Equipment Rental and Services Operations.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Revenue for our Equipment Rental and Services Operations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was $908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2026, compared to $651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2025, an increase of $257 million, or 39%. Approximately $196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increase is attributed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the growth in fleet OEC under our management 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$9,851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and the corresponding increase in our fleet size from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to 280,699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units of equipment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under our management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respectively. The increase in fleet OEC under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connected to our T3 platform, drove an increase in equipment rental revenue, primarily from national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regional customers. Fleet OEC under our management includes equipment we own and lease,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owned by third parties and leased through our OWN Program that we rent to customers from our full-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service branch locations, which also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 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sales of equipment parts and supplies and services from mature branch locations and new branch locations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open less than 24 months contributed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$5 million, respectively, to the increase in equipment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related services revenue and changes in the mix of equipment rented and price changes increased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rental and related services revenue by $42 million.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Adjusted EBITDA for our Equipment Rental and Services Operations segment was $389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three months ended June 30, 2026, compared to $275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of $114 million, or 41%. The increase in Segment Adjusted EBITDA was primarily due an increase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total revenues of $257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equipment rentals and the sale of parts, supplies and services, attributed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our organic growth initiatives, including the maturation of our existing sites and incremental growth sites, and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 in equipment rental fleet OEC under our management, 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$9,851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 and the corresponding increase in our fleet size from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to 280,699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under our management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respectively, driven by OWN Program demand.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increase in segment total revenues was offset by increases of $96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segment cost of revenues and $47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segment selling, general and administrative expenses.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Revenue for our Equipment Sales segment was $483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30, 2026, compared to $478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$5 million, or 1%.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was primarily due to increased sales of construction equipment, primarily to existing and new participants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the OWN Program, as presented in the following table (in millions):</w:t>
      </w:r>
    </w:p>
    <w:tbl>
      <w:tblPr>
        <w:tblW w:w="7517" w:type="dxa"/>
        <w:jc w:val="left"/>
        <w:tblInd w:w="0" w:type="dxa"/>
        <w:tblLayout w:type="fixed"/>
        <w:tblCellMar>
          <w:top w:w="28" w:type="dxa"/>
          <w:left w:w="28" w:type="dxa"/>
          <w:bottom w:w="28" w:type="dxa"/>
          <w:right w:w="28" w:type="dxa"/>
        </w:tblCellMar>
      </w:tblPr>
      <w:tblGrid>
        <w:gridCol w:w="4426"/>
        <w:gridCol w:w="526"/>
        <w:gridCol w:w="109"/>
        <w:gridCol w:w="526"/>
        <w:gridCol w:w="109"/>
        <w:gridCol w:w="796"/>
        <w:gridCol w:w="109"/>
        <w:gridCol w:w="916"/>
      </w:tblGrid>
      <w:tr>
        <w:trPr/>
        <w:tc>
          <w:tcPr>
            <w:tcW w:w="44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283"/>
              <w:jc w:val="left"/>
              <w:rPr>
                <w:sz w:val="4"/>
                <w:szCs w:val="4"/>
              </w:rPr>
            </w:pPr>
            <w:r>
              <w:rPr>
                <w:sz w:val="4"/>
                <w:szCs w:val="4"/>
              </w:rPr>
            </w:r>
          </w:p>
        </w:tc>
        <w:tc>
          <w:tcPr>
            <w:tcW w:w="309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w:t>
            </w:r>
          </w:p>
        </w:tc>
      </w:tr>
      <w:tr>
        <w:trPr/>
        <w:tc>
          <w:tcPr>
            <w:tcW w:w="4426"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44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 to OWN Program participants</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44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44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revenues -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4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Cost of equipment sold to OWN Program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participants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44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Cost of other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44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cost of revenues -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equipment sales to OWN Program participants included net revenue of $32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$17 million, respectively, recognized on an agent basis, with overall transaction values of $195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$143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increase in equipment sales of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primarily attributed to higher sales of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to existing and new participants in our OWN Program. Sales of new and used equipment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our full service branch locations to contractors and other end users decreased by $6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Adjusted EBITDA for our Equipment Sales segment was $82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30, 2026, compared to $60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$22 million, or 37%.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increase in Segment Adjusted EBITDA was primarily attributed to higher gross margins on equipment sales.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56</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All Other.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Revenue for all other activities was $58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2026, compared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months ended June 30, 2025, an increase of $40 million, or 222%. This increase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primarily due to an increase of $23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telematics SaaS subscriptions, applications, and related telematics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devices, as well as an increase of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sales of building materials, small tools, and hardware supplies due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our expansion of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hardware stores during the trailing twelve months. Segment earnings for our all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activities was $1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2026, compared to Segment loss of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three months ended June 30, 2025, an increase of $6 million, or 120%, primarily due to the higher revenue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previously discussed, partially offset by an increase of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selling, general and administrative expenses,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employee compensation, technology costs, professional service fees, and insurance expenses which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allocated to all other activities based on employee headcount.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tables present information about our reportable segments for the six months ended June 30, 2026</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w:t>
      </w:r>
    </w:p>
    <w:tbl>
      <w:tblPr>
        <w:tblW w:w="8132" w:type="dxa"/>
        <w:jc w:val="left"/>
        <w:tblInd w:w="0" w:type="dxa"/>
        <w:tblLayout w:type="fixed"/>
        <w:tblCellMar>
          <w:top w:w="28" w:type="dxa"/>
          <w:left w:w="28" w:type="dxa"/>
          <w:bottom w:w="28" w:type="dxa"/>
          <w:right w:w="28" w:type="dxa"/>
        </w:tblCellMar>
      </w:tblPr>
      <w:tblGrid>
        <w:gridCol w:w="4411"/>
        <w:gridCol w:w="946"/>
        <w:gridCol w:w="109"/>
        <w:gridCol w:w="931"/>
        <w:gridCol w:w="109"/>
        <w:gridCol w:w="796"/>
        <w:gridCol w:w="109"/>
        <w:gridCol w:w="721"/>
      </w:tblGrid>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372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 2026</w:t>
            </w:r>
          </w:p>
        </w:tc>
      </w:tr>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Rental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Services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Operations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Sales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All 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Total</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$1,663</w:t>
            </w:r>
          </w:p>
        </w:tc>
      </w:tr>
      <w:tr>
        <w:trPr/>
        <w:tc>
          <w:tcPr>
            <w:tcW w:w="44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of building materials, small tools, and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hardware 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revenues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$2,437</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expenses:</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Segment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Segment Adjusted EBITDA</w:t>
            </w:r>
            <w:r>
              <w:rPr>
                <w:rFonts w:ascii="Times New Roman;serif" w:hAnsi="Times New Roman;serif"/>
                <w:b/>
                <w:i w:val="false"/>
                <w:caps w:val="false"/>
                <w:smallCaps w:val="false"/>
                <w:strike w:val="false"/>
                <w:dstrike w:val="false"/>
                <w:sz w:val="13"/>
                <w:u w:val="none"/>
                <w:effect w:val="none"/>
              </w:rPr>
              <w:t>(1)</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bl>
    <w:tbl>
      <w:tblPr>
        <w:tblW w:w="8132" w:type="dxa"/>
        <w:jc w:val="left"/>
        <w:tblInd w:w="0" w:type="dxa"/>
        <w:tblLayout w:type="fixed"/>
        <w:tblCellMar>
          <w:top w:w="28" w:type="dxa"/>
          <w:left w:w="28" w:type="dxa"/>
          <w:bottom w:w="28" w:type="dxa"/>
          <w:right w:w="28" w:type="dxa"/>
        </w:tblCellMar>
      </w:tblPr>
      <w:tblGrid>
        <w:gridCol w:w="4411"/>
        <w:gridCol w:w="946"/>
        <w:gridCol w:w="109"/>
        <w:gridCol w:w="931"/>
        <w:gridCol w:w="109"/>
        <w:gridCol w:w="796"/>
        <w:gridCol w:w="109"/>
        <w:gridCol w:w="721"/>
      </w:tblGrid>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372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 2025</w:t>
            </w:r>
          </w:p>
        </w:tc>
      </w:tr>
      <w:tr>
        <w:trPr/>
        <w:tc>
          <w:tcPr>
            <w:tcW w:w="44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Rental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Services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Operations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Equipment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Sales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All 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Total</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rental, parts, supplies, and services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w:t>
            </w:r>
          </w:p>
        </w:tc>
      </w:tr>
      <w:tr>
        <w:trPr/>
        <w:tc>
          <w:tcPr>
            <w:tcW w:w="44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Telematics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44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of building materials, small tools, and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hardware supplies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$1,864</w:t>
            </w:r>
          </w:p>
        </w:tc>
      </w:tr>
      <w:tr>
        <w:trPr/>
        <w:tc>
          <w:tcPr>
            <w:tcW w:w="44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Significant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Segment cost of 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selling, general and administrative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Segment Adjusted EBITDA</w:t>
            </w:r>
            <w:r>
              <w:rPr>
                <w:rFonts w:ascii="Times New Roman;serif" w:hAnsi="Times New Roman;serif"/>
                <w:b w:val="false"/>
                <w:i w:val="false"/>
                <w:caps w:val="false"/>
                <w:smallCaps w:val="false"/>
                <w:strike w:val="false"/>
                <w:dstrike w:val="false"/>
                <w:sz w:val="13"/>
                <w:u w:val="none"/>
                <w:effect w:val="none"/>
              </w:rPr>
              <w:t xml:space="preserve">(1) </w:t>
            </w:r>
            <w:r>
              <w:rPr>
                <w:rFonts w:ascii="Times New Roman;serif" w:hAnsi="Times New Roman;serif"/>
                <w:b w:val="false"/>
                <w:i w:val="false"/>
                <w:caps w:val="false"/>
                <w:smallCaps w:val="false"/>
                <w:strike w:val="false"/>
                <w:dstrike w:val="false"/>
                <w:color w:val="B4B4B4"/>
                <w:sz w:val="20"/>
                <w:u w:val="none"/>
                <w:effect w:val="none"/>
              </w:rPr>
              <w:t>..................................</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(1)Segment Adjusted EBITDA includes cost of revenues and selling, general, and administrative expenses for each segment. Cost of revenues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for the Equipment Rental and Services Operations segment includes direct operating costs, excluding equipment and vehicle operating lease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expense. Equipment and vehicle operating lease expense was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respectively. Cost of revenues for the Equipment Sales segment includes the cost of equipment sales. Cost of revenues for all other activities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includes platform expenses. Segment Adjusted EBITDA also excludes operating expenses related to OWN Program payouts, depreciation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expense on rental equipment, and amortization expense on capitalized software and intangible assets. OWN Program payouts, depreciation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57</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expense on rental equipment, and amortization expense on capitalized software and intangible assets was $451 million, $173 million, and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$16 million, respectively, for the six months ended June 30, 2026, $328 million, $139 million, and $9 million, respectively, for the six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months ended June 30, 2025. Selling, general and administrative expenses for each segment exclude depreciation expense related to our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property and other fixed assets. Depreciation expense related to our property and other fixed assets was $27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for the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2025, respectively. For additional information, see Note 18. Segments in this Form 10-Q, for the six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months ended June 30, 2026. </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Six Months Ended June 30, 2026</w:t>
      </w:r>
      <w:r>
        <w:rPr>
          <w:strike w:val="false"/>
          <w:dstrike w:val="false"/>
          <w:sz w:val="24"/>
          <w:u w:val="none"/>
          <w:effect w:val="none"/>
        </w:rPr>
        <w:t xml:space="preserve"> </w:t>
      </w:r>
      <w:r>
        <w:rPr>
          <w:rFonts w:ascii="Times New Roman;serif" w:hAnsi="Times New Roman;serif"/>
          <w:b/>
          <w:i/>
          <w:strike w:val="false"/>
          <w:dstrike w:val="false"/>
          <w:sz w:val="20"/>
          <w:u w:val="none"/>
          <w:effect w:val="none"/>
        </w:rPr>
        <w:t>Compared with Six Months Ended June 30, 2025</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rPr>
        <w:t>Equipment Rental and Services Operations.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Revenue for our Equipment Rental and Services Operations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was $1,672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compared to $1,207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2025, an increase of $465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or 39%. Approximately $364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of the increase is attributed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the growth in fleet OEC under our management 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$9,851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 and the corresponding increase in our fleet size from 218,035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units to </w:t>
      </w:r>
      <w:r>
        <w:rPr>
          <w:rFonts w:ascii="Times New Roman;serif" w:hAnsi="Times New Roman;serif"/>
          <w:b w:val="false"/>
          <w:i w:val="false"/>
          <w:caps w:val="false"/>
          <w:smallCaps w:val="false"/>
          <w:strike w:val="false"/>
          <w:dstrike w:val="false"/>
          <w:sz w:val="20"/>
          <w:u w:val="none"/>
          <w:effect w:val="none"/>
        </w:rPr>
        <w:t>280,699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units of equipment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under our management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respectively. The increase in fleet OEC under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connected to our T3 platform, drove an increase in equipment rental revenue, primarily from national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regional customers. Fleet OEC under our management includes equipment we own and lease,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owned by third parties and leased through our OWN Program that we rent to customers from our full-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service branch locations, which also increased from 324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 to 391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sales of equipment parts and supplies and services from mature branch locations and new branch locations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open less than 24 months contributed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 million, respectively, to the increase in equipment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related services revenue and changes in the mix of equipment rented and price changes increased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rental and related services revenue by $62 million.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Adjusted EBITDA for our Equipment Rental and Services Operations segment was $713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six months ended June 30, 2026, compared to $483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$230 million, or 48%. The increase in Segment Adjusted EBITDA was primarily due an increase in segment total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revenues of $465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equipment rentals and the sale of parts, supplies and services, attributed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organic growth initiatives, including the maturation of our existing sites and incremental growth sites, and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 in equipment rental fleet OEC under our management, from $7,360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$9,851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 and the corresponding increase in our fleet size from 218,035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units to 280,699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under our management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respectively, driven by OWN Program demand.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increase in segment total revenues was offset by increases of $145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segment cost of revenues and $90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segment selling, general and administrative expenses</w:t>
      </w:r>
      <w:r>
        <w:rPr>
          <w:rFonts w:ascii="Times New Roman;serif" w:hAnsi="Times New Roman;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Equipment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Revenue for our Equipment Sales segment was $661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r>
        <w:rPr>
          <w:rFonts w:ascii="Times New Roman;serif" w:hAnsi="Times New Roman;serif"/>
          <w:b w:val="false"/>
          <w:i w:val="false"/>
          <w:caps w:val="false"/>
          <w:smallCaps w:val="false"/>
          <w:sz w:val="20"/>
        </w:rPr>
        <w:t xml:space="preserve">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June 30, 2026</w:t>
      </w:r>
      <w:r>
        <w:rPr>
          <w:rFonts w:ascii="Times New Roman;serif" w:hAnsi="Times New Roman;serif"/>
          <w:b w:val="false"/>
          <w:i w:val="false"/>
          <w:caps w:val="false"/>
          <w:smallCaps w:val="false"/>
          <w:strike w:val="false"/>
          <w:dstrike w:val="false"/>
          <w:sz w:val="20"/>
          <w:u w:val="none"/>
          <w:effect w:val="none"/>
        </w:rPr>
        <w:t>, compared to $624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$37 million, or 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increase was primarily due to increased sales of construction equipment, primarily to contractors and other end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users and to existing and new participants in the OWN Program, as presented in the following table (in millions):</w:t>
      </w:r>
    </w:p>
    <w:tbl>
      <w:tblPr>
        <w:tblW w:w="7517" w:type="dxa"/>
        <w:jc w:val="left"/>
        <w:tblInd w:w="0" w:type="dxa"/>
        <w:tblLayout w:type="fixed"/>
        <w:tblCellMar>
          <w:top w:w="28" w:type="dxa"/>
          <w:left w:w="28" w:type="dxa"/>
          <w:bottom w:w="28" w:type="dxa"/>
          <w:right w:w="28" w:type="dxa"/>
        </w:tblCellMar>
      </w:tblPr>
      <w:tblGrid>
        <w:gridCol w:w="4426"/>
        <w:gridCol w:w="526"/>
        <w:gridCol w:w="109"/>
        <w:gridCol w:w="526"/>
        <w:gridCol w:w="109"/>
        <w:gridCol w:w="796"/>
        <w:gridCol w:w="109"/>
        <w:gridCol w:w="916"/>
      </w:tblGrid>
      <w:tr>
        <w:trPr/>
        <w:tc>
          <w:tcPr>
            <w:tcW w:w="44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283"/>
              <w:jc w:val="left"/>
              <w:rPr>
                <w:sz w:val="4"/>
                <w:szCs w:val="4"/>
              </w:rPr>
            </w:pPr>
            <w:r>
              <w:rPr>
                <w:sz w:val="4"/>
                <w:szCs w:val="4"/>
              </w:rPr>
            </w:r>
          </w:p>
        </w:tc>
        <w:tc>
          <w:tcPr>
            <w:tcW w:w="309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4426"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44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Equipment sales to OWN Program participants</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44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44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revenues -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4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Cost of equipment sold to OWN Program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participants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44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Cost of other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44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cost of revenues - equipment 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2025, equipment sales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OWN Program participants included net revenue of $38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and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$30 million, respectively, recognized on an agent basis, with overall transaction values of $236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and $240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increase in equipment sales of $37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primarily attributed to higher sales of $18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construction equipment to existing and new participants in our OWN Program. Sales of new and used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58</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our full service branch locations to contractors and other end users increased $19 million, primarily attributed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our site expansions.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 Adjusted EBITDA for our Equipment Sales segment was $107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r>
        <w:rPr>
          <w:rFonts w:ascii="Times New Roman;serif" w:hAnsi="Times New Roman;serif"/>
          <w:b w:val="false"/>
          <w:i w:val="false"/>
          <w:caps w:val="false"/>
          <w:smallCaps w:val="false"/>
          <w:sz w:val="20"/>
        </w:rPr>
        <w:t xml:space="preserve">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June 30, 2026</w:t>
      </w:r>
      <w:r>
        <w:rPr>
          <w:rFonts w:ascii="Times New Roman;serif" w:hAnsi="Times New Roman;serif"/>
          <w:b w:val="false"/>
          <w:i w:val="false"/>
          <w:caps w:val="false"/>
          <w:smallCaps w:val="false"/>
          <w:strike w:val="false"/>
          <w:dstrike w:val="false"/>
          <w:sz w:val="20"/>
          <w:u w:val="none"/>
          <w:effect w:val="none"/>
        </w:rPr>
        <w:t>, compared to $86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2025, an increase of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or 24%.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increase in Segment Adjusted EBITDA was primarily attributed to higher gross margins on equipment sales.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All Other.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Revenue for all other activities was $104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$71 million, or 215%. This increase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primarily due to an increase of $43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telematics SaaS subscriptions, applications, and related telematics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devices, as well as an increase of $28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sales of building materials, small tools, and hardware supplies due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our expansion of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hardware stores during the trailing twelve months. Segment loss for our all other activities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compared to $9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an increase of $7 million, or 78%, primarily due to the higher revenue as previously discussed, partially offset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by an increase of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selling, general and administrative expenses, including employee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technology costs, professional service fees, and insurance expenses which were allocated to all other activities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employee headcount.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Liquidity</w:t>
      </w:r>
      <w:bookmarkStart w:id="5" w:name="i85899dc28ac74640b9acf50e0d5843b2_23839"/>
      <w:bookmarkEnd w:id="5"/>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and Capital Resources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Overview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primary liquidity needs include funding our growth, payment of operating expenses, purchases of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 to be used in our operations, servicing of debt, and funding acquisitions.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future contractual obligations are further discussed in “—Contractual Obligations and Commitments”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below. Our primary sources of liquidity have been cash and cash equivalents, cash flows from our operations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ability to borrow under our existing ABL Credit Facility, other financing arrangements, including lines of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the issuances of perpetual preferred, common stock, and convertible preferred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our liquidity consisted of cash and cash equivalents of $443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net excess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availability of $980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our ABL Credit Facility. See “—ABL Credit Facility—Borrowing Capacity”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below.</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July 1, 2026, we issued $1,350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an aggregate principal amount of 7.125% Senior Secured Second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Lien Notes due 2034 (defined below) and used proceeds primarily to repay outstanding borrowings under the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 Facility, enhancing our liquidity.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strategy is to maintain enough liquidity from both cash from operations and our availability under our debt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facilities to maintain sufficient headroom to finance our growth, as well as mitigate the impact that any adverse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market conditions might have on our operations in the future. We believe that cash generated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together with amounts available under the ABL Credit Facility or other financing arrangements, will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sufficient to meet working capital requirements, debt payments, and anticipated capital expenditures, as well as meet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strategic uses of cash, if any, over the next twelve months and beyond. We aim to maintain at least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$500 million in liquidity at all times.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the extent that current and anticipated future sources of liquidity are insufficient to fund our future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and requirements, we may be required to seek additional equity or debt financing. The sale of additional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would result in additional dilution to shareholders. In addition, we continuously monitor the capital markets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our capital structure, and, from time to time, we seek to refinance, amend or otherwise restructure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debt on an opportunistic basis and can also choose to raise incremental liquidity as part of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Such repurchases, refinancings, amendments, exchanges or other transactions, if any, will be upon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terms and at such prices as we may determine, and will depend on prevailing market conditions, our liquidity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requirements, the availability of authorized share capital, contractual restrictions and other factors. The incurrence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debt financing would result in debt service obligations and the instruments governing such debt could provide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and financing covenants that may restrict our operations. There can be no assurances that we will be 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59</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raise additional capital on terms that are attractive to us or at all. The inability to raise capital would adversely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affect our ability to achieve our business objectives.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sell equipment to third party OWN Program participants some of which have financed equipment purchases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through the issuance of ABS. Under the terms of the ABS, if the appraised value of the equipment declines below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specified amounts, these vehicles may require the third-party owner to liquidate some or all of their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would make it unavailable to us and may require us to expend cash to obtain replacement equipment in order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supply our customers with rental equipment.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9, 2026, the Board approved a share repurchase program with authorization to purchase up to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aggregate of $500 million of our Class A common stock with an expiration date of December 31, 2028. Repurchases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program may be made from time to time in the open market at prevailing market prices, in privately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negotiated transactions, in block trades and through other legally permissible means, with the amount and timing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repurchases to be determined at our discretion, depending on market conditions and corporate needs. This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does not obligate us to acquire any particular amount of Class A common stock and may be modified, suspended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terminated at any time at the discretion of the Board.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Cash Flows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factors driving our liquidity position include cash flows generated from operating and financing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as well as investing activities. We have generated and expect to continue to generate positive cash flow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our operations. Our ability to fund our capital needs will be affected by our ongoing ability to generate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operations and access to capital markets.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The following table summarizes the change in cash and cash equivalents for the periods shown:</w:t>
      </w:r>
    </w:p>
    <w:tbl>
      <w:tblPr>
        <w:tblW w:w="7351" w:type="dxa"/>
        <w:jc w:val="left"/>
        <w:tblInd w:w="0" w:type="dxa"/>
        <w:tblLayout w:type="fixed"/>
        <w:tblCellMar>
          <w:top w:w="28" w:type="dxa"/>
          <w:left w:w="28" w:type="dxa"/>
          <w:bottom w:w="28" w:type="dxa"/>
          <w:right w:w="28" w:type="dxa"/>
        </w:tblCellMar>
      </w:tblPr>
      <w:tblGrid>
        <w:gridCol w:w="5236"/>
        <w:gridCol w:w="945"/>
        <w:gridCol w:w="159"/>
        <w:gridCol w:w="1011"/>
      </w:tblGrid>
      <w:tr>
        <w:trPr/>
        <w:tc>
          <w:tcPr>
            <w:tcW w:w="523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5236" w:type="dxa"/>
            <w:tcBorders/>
            <w:vAlign w:val="center"/>
          </w:tcPr>
          <w:p>
            <w:pPr>
              <w:pStyle w:val="TableContents"/>
              <w:bidi w:val="0"/>
              <w:spacing w:before="0" w:after="283"/>
              <w:jc w:val="left"/>
              <w:rPr>
                <w:sz w:val="4"/>
                <w:szCs w:val="4"/>
              </w:rPr>
            </w:pPr>
            <w:r>
              <w:rPr>
                <w:sz w:val="4"/>
                <w:szCs w:val="4"/>
              </w:rPr>
            </w:r>
          </w:p>
        </w:tc>
        <w:tc>
          <w:tcPr>
            <w:tcW w:w="9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236"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(In millions)</w:t>
            </w:r>
          </w:p>
        </w:tc>
      </w:tr>
      <w:tr>
        <w:trPr/>
        <w:tc>
          <w:tcPr>
            <w:tcW w:w="52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Net cash used in operating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c>
          <w:tcPr>
            <w:tcW w:w="15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r>
      <w:tr>
        <w:trPr/>
        <w:tc>
          <w:tcPr>
            <w:tcW w:w="52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Net cash used in investing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(730)</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w:t>
            </w:r>
          </w:p>
        </w:tc>
      </w:tr>
      <w:tr>
        <w:trPr/>
        <w:tc>
          <w:tcPr>
            <w:tcW w:w="52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Net cash provided by financing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1,009</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531</w:t>
            </w:r>
          </w:p>
        </w:tc>
      </w:tr>
      <w:tr>
        <w:trPr/>
        <w:tc>
          <w:tcPr>
            <w:tcW w:w="5236"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Net increase (decrease) in cash and cash equivalents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$137</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$(46)</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Net Cash Used in Operating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net cash used in our operating activities was $142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$127 million, respectively, and was in each period primarily due to the expansion of our business, increased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working capital corresponding to the growth in our revenues, and the timing of certain payments.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Net cash used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activities also reflects an increase in cost of revenues of $368 million, selling, general and administrative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 of $164 million, and interest expense of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as compared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the six months ended June 30, 2025, associated with the growth of our revenues and other changes in working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capital.</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Net Cash Used in Investing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net cash used in our investing activities was $730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$450 million, respectively, an increase of 62%, and was primarily due to an increase in cash used for the purchases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rental equipment, which was $1,017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and $799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 xml:space="preserve">an increase in cash used for the purchases of properties and other fixed assets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was $163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2026, and $116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60</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Net Cash Provided by Financing Activities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six months ended June 30, 2026, net cash provided by financing activities was $1,009 million, compared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$531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90%. Net cash provided by financing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activities was positively impacted by proceeds of $706 million</w:t>
      </w:r>
      <w:r>
        <w:rPr>
          <w:caps w:val="false"/>
          <w:smallCaps w:val="false"/>
          <w:sz w:val="24"/>
        </w:rPr>
        <w:t xml:space="preserve"> </w:t>
      </w:r>
      <w:r>
        <w:rPr>
          <w:rFonts w:ascii="Times New Roman;serif" w:hAnsi="Times New Roman;serif"/>
          <w:b w:val="false"/>
          <w:i w:val="false"/>
          <w:caps w:val="false"/>
          <w:smallCaps w:val="false"/>
          <w:sz w:val="20"/>
        </w:rPr>
        <w:t xml:space="preserve">from the issuance of Class A common stock upon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initial public offering, net of underwriting discount and commissions,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proceeds of $1,332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issuance of long-term debt for the six months ended June 30, 2026, and net proceeds of $900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issuance of long-term debt for the six months ended June 30, 2025. This was offset partially by using $984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cash to repay long-term debt and finance leases for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$318 million</w:t>
      </w:r>
      <w:r>
        <w:rPr>
          <w:caps w:val="false"/>
          <w:smallCaps w:val="false"/>
          <w:sz w:val="24"/>
        </w:rPr>
        <w:t xml:space="preserve"> </w:t>
      </w:r>
      <w:r>
        <w:rPr>
          <w:rFonts w:ascii="Times New Roman;serif" w:hAnsi="Times New Roman;serif"/>
          <w:b w:val="false"/>
          <w:i w:val="false"/>
          <w:caps w:val="false"/>
          <w:smallCaps w:val="false"/>
          <w:sz w:val="20"/>
        </w:rPr>
        <w:t xml:space="preserve">in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to repay long-term debt and finance leases </w:t>
      </w:r>
      <w:r>
        <w:rPr>
          <w:rFonts w:ascii="Times New Roman;serif" w:hAnsi="Times New Roman;serif"/>
          <w:b w:val="false"/>
          <w:i w:val="false"/>
          <w:caps w:val="false"/>
          <w:smallCaps w:val="false"/>
          <w:strike w:val="false"/>
          <w:dstrike w:val="false"/>
          <w:sz w:val="20"/>
          <w:u w:val="none"/>
          <w:effect w:val="none"/>
        </w:rPr>
        <w:t>for the six months ended June 30, 2025.</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Capital Expenditures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capital expenditures relate largely to purchases of rental equipment, with the remaining portion representing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purchases of and deposits on property and other fixed assets and investments in internally developed software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associated with the development of our proprietary T3 platform and related software applications.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offset capital expenditures related to our rental equipment fleet through our sales of rental equipment to contractors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to OWN Program participants, including high net worth individuals, family offices, and other third parties who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have financed equipment purchases through the issuance of ABS.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table below sets forth the capital expenditures related to our rental equipment fleet, net of proceeds from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 of rental equipment, and investments we are making to the T3 platform and other internally developed software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each of the years presented.</w:t>
      </w:r>
    </w:p>
    <w:tbl>
      <w:tblPr>
        <w:tblW w:w="7591" w:type="dxa"/>
        <w:jc w:val="left"/>
        <w:tblInd w:w="0" w:type="dxa"/>
        <w:tblLayout w:type="fixed"/>
        <w:tblCellMar>
          <w:top w:w="28" w:type="dxa"/>
          <w:left w:w="28" w:type="dxa"/>
          <w:bottom w:w="28" w:type="dxa"/>
          <w:right w:w="28" w:type="dxa"/>
        </w:tblCellMar>
      </w:tblPr>
      <w:tblGrid>
        <w:gridCol w:w="5476"/>
        <w:gridCol w:w="1043"/>
        <w:gridCol w:w="168"/>
        <w:gridCol w:w="904"/>
      </w:tblGrid>
      <w:tr>
        <w:trPr/>
        <w:tc>
          <w:tcPr>
            <w:tcW w:w="54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104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54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Purchases of 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$1,017</w:t>
            </w:r>
          </w:p>
        </w:tc>
        <w:tc>
          <w:tcPr>
            <w:tcW w:w="16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$799</w:t>
            </w:r>
          </w:p>
        </w:tc>
      </w:tr>
      <w:tr>
        <w:trPr/>
        <w:tc>
          <w:tcPr>
            <w:tcW w:w="547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Proceeds from sale of rental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4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r>
      <w:tr>
        <w:trPr/>
        <w:tc>
          <w:tcPr>
            <w:tcW w:w="547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 xml:space="preserve">Net rental equipment capital expenditure </w:t>
            </w:r>
            <w:r>
              <w:rPr>
                <w:rFonts w:ascii="Times New Roman;serif" w:hAnsi="Times New Roman;serif"/>
                <w:b/>
                <w:i w:val="false"/>
                <w:caps w:val="false"/>
                <w:smallCaps w:val="false"/>
                <w:strike w:val="false"/>
                <w:dstrike w:val="false"/>
                <w:color w:val="B4B4B4"/>
                <w:sz w:val="20"/>
                <w:u w:val="none"/>
                <w:effect w:val="none"/>
              </w:rPr>
              <w:t>....................................</w:t>
            </w:r>
          </w:p>
        </w:tc>
        <w:tc>
          <w:tcPr>
            <w:tcW w:w="10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$534</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$299</w:t>
            </w:r>
          </w:p>
        </w:tc>
      </w:tr>
      <w:tr>
        <w:trPr/>
        <w:tc>
          <w:tcPr>
            <w:tcW w:w="547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Investments in internally developed software</w:t>
            </w:r>
            <w:r>
              <w:rPr>
                <w:rFonts w:ascii="Times New Roman;serif" w:hAnsi="Times New Roman;serif"/>
                <w:b w:val="false"/>
                <w:i w:val="false"/>
                <w:caps w:val="false"/>
                <w:smallCaps w:val="false"/>
                <w:strike w:val="false"/>
                <w:dstrike w:val="false"/>
                <w:sz w:val="13"/>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4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547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 xml:space="preserve">Net rental equipment &amp; software expenditure </w:t>
            </w:r>
            <w:r>
              <w:rPr>
                <w:rFonts w:ascii="Times New Roman;serif" w:hAnsi="Times New Roman;serif"/>
                <w:b/>
                <w:i w:val="false"/>
                <w:caps w:val="false"/>
                <w:smallCaps w:val="false"/>
                <w:strike w:val="false"/>
                <w:dstrike w:val="false"/>
                <w:color w:val="B4B4B4"/>
                <w:sz w:val="20"/>
                <w:u w:val="none"/>
                <w:effect w:val="none"/>
              </w:rPr>
              <w:t>.............................</w:t>
            </w:r>
          </w:p>
        </w:tc>
        <w:tc>
          <w:tcPr>
            <w:tcW w:w="104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$551</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$319</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(1)Represents expenditures in connection with developing and maintaining our information technology, including our T3 platform, as well as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related software applications that generate platform revenue.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Net rental equipment capital expenditures were $534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2026, compared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$299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79%, as we continued to grow our fleet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site locations in connection with our geographical expansion. </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ABL Credit Facility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Borrowing Capacity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November 26, 2025, we refinanced existing borrowings under an asset-based lending facility (the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Facility”) by entering into a new asset-based lending facility (the “ABL Credit Facility”). The ABL Credit Facility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has a stated maturity date of November 26, 2030. The ABL Credit Facility provides available “borrowing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capacity” (the maximum borrowing permitted, assuming there is sufficient collateral as identified under the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Facility) up to $2.75 billion. Borrowings under the ABL Credit Facility will bear interest at a rate (at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election) equal to either (i) the SOFR plus a spread between 112.5 to 137.5 basis points or (ii) the greatest of (a) 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 the Federal Funds Rate in effect on such day plus 50 basis points, (c) the SOFR for a one month tenor in effect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such day (to the extent ascertainable), plus 100 basis points, and (d) the Prime Rate plus (y) a spread between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12.5 basis points and 37.5 basis points.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61</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ABL Credit Facility provides for the majority of our borrowing capacity and availability. Creditors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ABL Credit Facility have a first-priority security interest in specific pools of assets identified as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therein. Our ability to borrow under the ABL Credit Facility is a function of, among other things, the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in the relevant collateral pool. We refer to the amount of debt we can borrow given a certain pool of assets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“Borrowing Base,” which includes our accounts receivable, unbilled accounts receivable, eligible rental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equipment, eligible rolling stock and eligible inventory.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ABL Credit Facility, we are required to maintain control agreements on deposit accounts where,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(x) proceeds of collateral from customers and other obligors or (y) proceeds of sales of the collateral, are deposited.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During a Cash Dominion Period (as defined below), all amounts in such deposit accounts are </w:t>
      </w:r>
      <w:r>
        <w:rPr>
          <w:rFonts w:ascii="Times New Roman;serif" w:hAnsi="Times New Roman;serif"/>
          <w:b w:val="false"/>
          <w:i w:val="false"/>
          <w:caps w:val="false"/>
          <w:smallCaps w:val="false"/>
          <w:strike w:val="false"/>
          <w:dstrike w:val="false"/>
          <w:sz w:val="20"/>
          <w:u w:val="none"/>
          <w:effect w:val="none"/>
          <w:shd w:fill="FFFFFF" w:val="clear"/>
        </w:rPr>
        <w:t xml:space="preserve">swept into a collection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account maintained with the ABL Credit Facility Agent and used to repay borrowings under the ABL Credit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Facility.</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 cash dominion period (“Cash Dominion Period”) begins from the occurrence of (a) any specified event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default or (b) specified availability being less than the greater of (i) 10% of the maximum borrowing amount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(ii) $175 million, for five consecutive business days and ends when (a) no specified event of default exists and (b)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specified availability has been greater than the greater of (i) 10% of the maximum borrowing amount and (ii) $175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 for twenty consecutive days.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we calculated a Borrowing Base, as defined under the ABL Credit Facility, of $2,540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We determine “Net Excess Availability” as the amount of additional debt we could borrow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existing borrowing base. As of June 30, 2026, we had Net Excess Availability of $980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the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Facility. We determine “Remaining Capacity” as defined under the ABL Credit Facility as the maximum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principal amount of debt permitted to be outstanding under the facility (i.e., the amount of debt we could borrow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assuming we possessed sufficient assets as collateral) less the principal amount of debt then-outstanding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facility. We calculate “Availability Under Borrowing Base Limitation” as the lower of Remaining Capacity 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 Base less the principal amount of debt then-outstanding under the ABL Credit Facility, or the amount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debt we could borrow given the collateral we possess at such time, up to payment conditions. As of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calculated Remaining Capacity of $1,190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our “Availability Under Borrowing Base Limitation”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$726 million. Under the ABL Credit Facility, “Remaining Capacity” and “Availability Under Borrowing Base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Limitation” are calculated and defined in the same way as under the ABL Facility.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standby letters of credit were issued and outstanding with a third-party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institution.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Covenants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ABL Credit Facility contains a number of covenants that, among other things, limit or restrict our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dispose of assets, incur additional indebtedness, incur guarantee obligations, prepay certain indebtedness, make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restricted payments (including paying dividends, redeeming stock or making other distributions), create liens,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make investments, make acquisitions, engage in mergers, fundamentally change the nature of our business,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engage in certain transactions with certain affiliates. Under the terms of our ABL Credit Facility, we are not subject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ongoing financial maintenance covenants; however, under the ABL Credit Facility, failure to maintain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levels of liquidity will subject us to a contractually specified fixed charge coverage ratio of not less than 1:1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four quarters most recently ended. As of June 30, 2026, the appropriate levels of liquidity have been maintained;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therefore this financial maintenance covenant is not applicable.</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Additional information on the terms of our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Credit Facility is included in Note 9. Long-Term Debt and Lines of Credit in this Form 10-Q.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ABL Credit Facility is secured on a first-priority basis by liens on substantially all of our and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guarantor’s assets, subject to permitted liens and certain exceptions. As of the date of this Form 10-Q, the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 Facility is not guaranteed by any of our subsidiaries.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of the restrictive covenants under the ABL Credit Facility utilize adjusted EBITDA, as defined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credit agreement, as a primary component of the compliance metric governing our ability to undertake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actions otherwise proscribed by such covenants. The adjusted EBITDA metric is calculated under the ABL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Facility as net income before the income tax provision, net financing charges, restructuring and impairment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costs, allocation for support functions and other costs, and intangible asset amortization and depreciation, and new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62</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 start-up costs attributable to new locations less than twelve months old subject to a specified cap calculated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a percentage of the adjusted EBITDA metric. For the three and six months ended June 30, 2026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new market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start-up costs attributed to our Equipment Rental and Services Operations segment were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$109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respectively. For the three and six months ended June 30, 2025, new market start-up costs attributed to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Equipment Rental and Services Operations segment were $60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$116 million, respectively.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Senior Secured Second Lien Notes due 2028</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May 9, 2023, we issued $640,000,000 in aggregate principal amount of 9.000% Senior Secured Second Lien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Notes due 2028 (the “Initial 2028 Notes”). On September 21, 2023, we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issued an additional $400,000,000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aggregate principal amount of 9.000% Senior Secured Second Lien Notes due 2028 (the “Additional 2028 Notes”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together with the Initial 2028 Notes, the “2028 Notes”). The 2028 Notes were issued pursuant to the indenture,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dated as of May 9, 2023, between us and Citibank, N.A., as trustee and notes collateral agent (the “2028 Notes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Indenture”). The 2028 Notes bear interest at a rate of 9.00% per year and interest on the 2028 Notes is payable semi-</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annually in arrears on May 15 and November 15 of each year. The 2028 Notes will mature on May 15, 2028. The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2028 Notes rank </w:t>
      </w:r>
      <w:r>
        <w:rPr>
          <w:rFonts w:ascii="Times New Roman;serif" w:hAnsi="Times New Roman;serif"/>
          <w:b w:val="false"/>
          <w:i/>
          <w:strike w:val="false"/>
          <w:dstrike w:val="false"/>
          <w:sz w:val="20"/>
          <w:u w:val="none"/>
          <w:effect w:val="none"/>
        </w:rPr>
        <w:t>pari passu</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right of payment to all of our and any guarantor’s existing and future senior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indebtedness, including indebtedness under the ABL Credit Facility, our 2032 Notes (as defined below), our 2033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Notes (as defined below) and our 2034 Notes (as defined below).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2028 Notes and any related guarantees are secured on a second-priority basis by liens on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and any guarantor’s assets that secure any first-priority lien obligations (including the ABL Credit Facility),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permitted liens and certain exceptions. There are certain situations where all or a portion of such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may be automatically released.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2028 Notes are not currently guaranteed by any of our subsidiaries and, in the future, will be jointly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severally guaranteed on a senior secured second lien basis by each of our current and future subsidiaries to the extent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such subsidiary guarantees our ABL Credit Facility, subject to certain limitations and exceptions. We may redeem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some or all of the 2028 Notes at the redemption prices set forth in the 2028 Notes Indenture.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2028 Notes Indenture contains certain covenants applicable to us and our restricted subsidiaries,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limitations on: (1) liens; (2) indebtedness; (3) mergers, consolidations and acquisitions; (4) sales, transfers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dispositions of assets; (5) loans and other investments; (6) dividends and other distributions, stock repurchases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redemptions and other restricted payments; (7) restrictions affecting subsidiaries; (8) transactions with affiliates;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(9) designations of unrestricted subsidiaries. Each of these covenants is subject to a number of important exceptions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qualifications. In addition, many of the restrictive covenants do not apply to us during any period when the 2028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are rated investment grade by any two of Moody’s Investors Service, Inc. (“Moody’s”), Standard &amp; Poor’s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Investors Ratings Services (“S&amp;P”) and Fitch Ratings (“Fitch”) or, in certain circumstances, another rating agency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selected by us, provided at such time no default under the 2028 Notes Indenture has occurred and is continuing.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case of an event of default, the principal amount of the 2028 Notes plus accrued and unpaid interest would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accelerated.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Senior Secured Second Lien Notes due 2032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April 16, 2024, we issued $600,000,000 in aggregate principal amount of 8.625% Senior Secured Second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Lien Notes due 2032 (the “2032 Notes”). The 2032 Notes were issued pursuant to the indenture, dated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April 16, 2024, between us and Citibank, N.A., as trustee and notes collateral agent (the “2032 Notes Indenture”).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2032 Notes bear interest at a rate of 8.625% per year and interest on the 2032 Notes is payable semi-annually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arrears on May 15 and November 15 of each year. The 2032 Notes will mature on May 15, 2032. The 2032 Notes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rank </w:t>
      </w:r>
      <w:r>
        <w:rPr>
          <w:rFonts w:ascii="Times New Roman;serif" w:hAnsi="Times New Roman;serif"/>
          <w:b w:val="false"/>
          <w:i/>
          <w:strike w:val="false"/>
          <w:dstrike w:val="false"/>
          <w:sz w:val="20"/>
          <w:u w:val="none"/>
          <w:effect w:val="none"/>
        </w:rPr>
        <w:t>pari passu</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right of payment to all of our and any guarantor’s existing and future senior indebtedness,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indebtedness under the ABL Credit Facility, our 2028 Notes, our 2033 Notes (as defined below) and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2034 Notes (as defined below).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2032 Notes and any related guarantees are secured on a second-priority basis by liens on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and any guarantor’s assets that secure any first-priority lien obligations (including the ABL Credit Facility),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permitted liens and certain exceptions. There are certain situations where all or a portion of such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may be automatically released.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63</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As of the date of this Form 10-Q, the 2032 Notes are not guaranteed by any of our subsidiaries. Going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2032 Notes will be jointly and severally guaranteed on a senior secured second lien basis by each of our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future subsidiaries to the extent such subsidiary guarantees our ABL Credit Facility, subject to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limitations and exceptions. We may redeem some or all of the 2032 Notes at the redemption prices set forth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2032 Notes Indenture.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2032 Notes Indenture contains certain covenants applicable to us and our restricted subsidiaries,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limitations on: (1) liens; (2) indebtedness; (3) mergers, consolidations and acquisitions; (4) sales, transfers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dispositions of assets; (5) loans and other investments; (6) dividends and other distributions, stock repurchases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redemptions and other restricted payments; (7) restrictions affecting subsidiaries; (8) transactions with affiliates;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(9) designations of unrestricted subsidiaries. Each of these covenants is subject to a number of important exceptions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qualifications. In addition, many of the restrictive covenants do not apply to us during any period when the 2032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are rated investment grade by any two of Moody’s, S&amp;P, and Fitch or, in certain circumstances, another 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agency selected by us, provided at such time no default under the 2032 Notes Indenture has occurred and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continuing. In the case of an event of default, the principal amount of the 2032 Notes plus accrued and unpaid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 would be accelerated.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Senior Secured Second Lien Notes due 2033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September 13, 2024, we issued $500,000,000 in aggregate principal amount of 8.000% Senior Secured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Second Lien Notes due 2033 (the “2033 Notes”). The 2033 Notes were issued pursuant to the indenture, dated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September 13, 2024, between us and Citibank, N.A., as trustee and notes collateral agent (the “2033 Notes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Indenture”). The 2033 Notes bear interest at a rate of 8.000% per year and interest on the 2033 Notes is payable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semi-annually in arrears on March 15 and September 15 of each year. The 2033 Notes will mature on March 15,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2033. The 2033 Notes rank </w:t>
      </w:r>
      <w:r>
        <w:rPr>
          <w:rFonts w:ascii="Times New Roman;serif" w:hAnsi="Times New Roman;serif"/>
          <w:b w:val="false"/>
          <w:i/>
          <w:strike w:val="false"/>
          <w:dstrike w:val="false"/>
          <w:sz w:val="20"/>
          <w:u w:val="none"/>
          <w:effect w:val="none"/>
        </w:rPr>
        <w:t>pari passu</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right of payment to all of our and any guarantor’s existing and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senior indebtedness, including indebtedness under the ABL Credit Facility, our 2028 Notes, our 2032 Notes and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2034 Notes (as defined below).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2033 Notes and any related guarantees are secured on a second-priority basis by liens on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and any guarantor’s assets that secure any first-priority lien obligations (including the ABL Credit Facility),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permitted liens and certain exceptions. There are certain situations where all or a portion of such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may be automatically released.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As of the date of this Form 10-Q, the 2033 Notes are not guaranteed by any of our subsidiaries. Going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2033 Notes will be jointly and severally guaranteed on a senior secured second lien basis by each of our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future subsidiaries to the extent such subsidiary guarantees our ABL Credit Facility, subject to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limitations and exceptions. We may redeem some or all of the 2033 Notes at the redemption prices set forth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2033 Notes Indenture.</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The 2033 Notes Indenture contains certain covenants applicable to us and our restricted subsid</w:t>
      </w:r>
      <w:r>
        <w:rPr>
          <w:rFonts w:ascii="Times New Roman;serif" w:hAnsi="Times New Roman;serif"/>
          <w:b w:val="false"/>
          <w:i w:val="false"/>
          <w:caps w:val="false"/>
          <w:smallCaps w:val="false"/>
          <w:strike w:val="false"/>
          <w:dstrike w:val="false"/>
          <w:sz w:val="20"/>
          <w:u w:val="none"/>
          <w:effect w:val="none"/>
        </w:rPr>
        <w:t xml:space="preserve">iaries,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limitations on: (1) liens; (2) indebtedness; (3) mergers, consolidations and acquisitions; (4) sales, transfers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dispositions of assets; (5) loans and other investments; (6) dividends and other distributions, stock repurchases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redemptions and other restricted payments; (7) restrictions affecting subsidiaries; (8) transactions with affiliates;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(9) designations of unrestricted subsidiaries. Each of these covenants is subject to a number of important exceptions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qualifications. In addition, many of the restrictive covenants do not apply to us during any period when the 2033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are rated investment grade by any two of Moody’s, S&amp;P, and Fitch or, in certain circumstances, another 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agency selected by us, provided at such time no default under the 2033 Notes Indenture has occurred and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continuing. In the case of an event of default, the principal amount of the 2033 Notes plus accrued and unpaid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 would be accelerated.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Senior Secured Second Lien Notes due 2034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1, 2026, we issued $1,350,000,000 in aggregate principal amount of 7.125% Senior Secured Second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Lien Notes due 2034 (the “2034 Notes”). The 2034 Notes were issued pursuant to the indenture, dated as of July 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between us and Citibank, N.A., as trustee and notes collateral agent (the “2034 Notes Indenture”). The 2034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bear interest at a rate of 7.125% per year and interest on the 2034 Notes is payable semi-annually in arrears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64</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July 1 and January 1 of each year. The 2034 Notes will mature on July 1, 2034. The 2034 Notes rank </w:t>
      </w:r>
      <w:r>
        <w:rPr>
          <w:rFonts w:ascii="Times New Roman;serif" w:hAnsi="Times New Roman;serif"/>
          <w:b w:val="false"/>
          <w:i/>
          <w:strike w:val="false"/>
          <w:dstrike w:val="false"/>
          <w:sz w:val="20"/>
          <w:u w:val="none"/>
          <w:effect w:val="none"/>
        </w:rPr>
        <w:t>pari passu</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 of payment to all of our and any guarantor’s existing and future senior indebtedness, including indebtedness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under the ABL Credit Facility, our 2028 Notes, our 2032 Notes and our 2033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2034 Notes and any related guarantees are secured on a second-priority basis by liens on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and any guarantor’s assets that secure any first-priority lien obligations (including the ABL Credit Facility),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permitted liens and certain exceptions. There are certain situations where all or a portion of such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may be automatically released.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2034 Notes are not currently guaranteed by any of our subsidiaries and, in the future, will be jointly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severally guaranteed on a senior secured second lien basis by each of our current and future subsidiaries to the extent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such subsidiary guarantees our ABL Credit Facility, subject to certain limitations and exceptions. We may redeem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some or all of the 2034 Notes at the redemption prices set forth in the 2034 Notes Indenture.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2034 Notes Indenture contains certain covenants applicable to us and our restricted subsidiaries,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limitations on: (1) liens; (2) indebtedness; (3) mergers, consolidations and acquisitions; (4) sales, transfers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dispositions of assets; (5) loans and other investments; (6) dividends and other distributions, stock repurchases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redemptions and other restricted payments; (7) restrictions affecting subsidiaries; (8) transactions with affiliates;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(9) designations of unrestricted subsidiaries. Each of these covenants is subject to a number of important exceptions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qualifications. In addition, many of the restrictive covenants do not apply to us during any period when the 2034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are rated investment grade by any two of Moody’s, S&amp;P and Fitch or, in certain circumstances, another 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agency selected by us, provided at such time no default under the 2034 Notes Indenture has occurred and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continuing. In the case of an event of default, the principal amount of the 2034 Notes plus accrued and unpaid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 would be accelerated.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of the restrictive covenants under the indentures governing our outstanding notes utilize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assets as a primary component of the compliance metric governing our ability to undertake certain 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otherwise proscribed by such covenants.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certain liens and restricted payments are permitted subject to leverage ratios which are calculated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on an adjusted EBITDA metric. Such adjusted EBITDA metric is calculated under the indentures governing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outstanding notes as net income before income tax provision, net financing charges, restructuring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costs, allocation for support functions and other costs, and intangible asset amortization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and new market start-up costs attributable to new locations less than twelve months old subject to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specified cap calculated as a percentage of the adjusted EBITDA metric. </w:t>
      </w:r>
    </w:p>
    <w:p>
      <w:pPr>
        <w:pStyle w:val="TextBody"/>
        <w:bidi w:val="0"/>
        <w:spacing w:lineRule="atLeast" w:line="200"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Amendments to the Indentures Governing the 2028 Notes and the 2032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17, 2025, the indentures governing the 2028 Notes and the 2032 Notes were amended to conform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covenants and related definitions for these notes to the indenture governing the 2033 Notes. Among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things, the amendments increased certain limits on debt incurrence to align with the 2033 Notes and aligned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aspects of the lien covenant to the same terms in the 2033 Notes Indenture. In connection with these amendments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indentures, we paid $5 million in fees and expenses.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Share Repurchase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9, 2026, the Board approved a share repurchase program with authorization to purchase up to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aggregate of $500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Class A common stock with an expiration date of December 31, 2028.</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Repurchases under the program may be made from time to time in the open market at prevailing market prices,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privately negotiated transactions, in block trades and through other legally permissible means, with the amount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timing of repurchases to be determined at our discretion, depending on market conditions and corporate needs.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Open market repurchases will be structured to occur in accordance with applicable federal securities laws,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within the pricing and volume requirements of Rule 10b-18 under the Exchange Act. We may also, from time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time, enter into Rule 10b5-1 plans to facilitate repurchases of our shares under this authorization. This program does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65</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obligate us to acquire any particular amount of Class A common stock and may be modified, suspended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terminated at any time at the discretion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Dividends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Dividends on our perpetual preferred accrue and accumulate daily in arrears on the then current accreted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liquidation preference of the outstanding perpetual preferred, whether or not declared, and, if not declared and 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will accrue at the applicable dividend rate and be compounded quarterly in arrears. Dividends on the perpetual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preferred will be payable, at our election, in cash at any time when, as and if declared by our Board or any duly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authorized committee of our Board, but only out of assets legally available. 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June 7, 2026, the Board declared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dividend to the holders of perpetual preferred stock in an aggregate amount of $37 million payable in cash.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dividend was paid on June 26, 2026. As of June 30, 2026, the maximum potential dividend accumulated in arrears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our perpetual preferred was approximately $139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Contractual Obligations and Commitments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our long-term contractual obligations and commitments as of June 30, 2026.</w:t>
      </w:r>
    </w:p>
    <w:tbl>
      <w:tblPr>
        <w:tblW w:w="7897" w:type="dxa"/>
        <w:jc w:val="left"/>
        <w:tblInd w:w="0" w:type="dxa"/>
        <w:tblLayout w:type="fixed"/>
        <w:tblCellMar>
          <w:top w:w="28" w:type="dxa"/>
          <w:left w:w="28" w:type="dxa"/>
          <w:bottom w:w="28" w:type="dxa"/>
          <w:right w:w="28" w:type="dxa"/>
        </w:tblCellMar>
      </w:tblPr>
      <w:tblGrid>
        <w:gridCol w:w="3691"/>
        <w:gridCol w:w="676"/>
        <w:gridCol w:w="109"/>
        <w:gridCol w:w="781"/>
        <w:gridCol w:w="109"/>
        <w:gridCol w:w="676"/>
        <w:gridCol w:w="109"/>
        <w:gridCol w:w="676"/>
        <w:gridCol w:w="109"/>
        <w:gridCol w:w="961"/>
      </w:tblGrid>
      <w:tr>
        <w:trPr/>
        <w:tc>
          <w:tcPr>
            <w:tcW w:w="369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sz w:val="4"/>
                <w:szCs w:val="4"/>
              </w:rPr>
            </w:pPr>
            <w:r>
              <w:rPr>
                <w:sz w:val="4"/>
                <w:szCs w:val="4"/>
              </w:rPr>
            </w:r>
          </w:p>
        </w:tc>
        <w:tc>
          <w:tcPr>
            <w:tcW w:w="420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Payments Due by Period</w:t>
            </w:r>
          </w:p>
        </w:tc>
      </w:tr>
      <w:tr>
        <w:trPr/>
        <w:tc>
          <w:tcPr>
            <w:tcW w:w="3691"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Total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Less than</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1 year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1 - 3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years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3 - 5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years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More than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5 years</w:t>
            </w:r>
          </w:p>
        </w:tc>
      </w:tr>
      <w:tr>
        <w:trPr/>
        <w:tc>
          <w:tcPr>
            <w:tcW w:w="3691" w:type="dxa"/>
            <w:tcBorders/>
            <w:vAlign w:val="center"/>
          </w:tcPr>
          <w:p>
            <w:pPr>
              <w:pStyle w:val="TableContents"/>
              <w:bidi w:val="0"/>
              <w:spacing w:before="0" w:after="283"/>
              <w:jc w:val="left"/>
              <w:rPr>
                <w:sz w:val="4"/>
                <w:szCs w:val="4"/>
              </w:rPr>
            </w:pPr>
            <w:r>
              <w:rPr>
                <w:sz w:val="4"/>
                <w:szCs w:val="4"/>
              </w:rPr>
            </w:r>
          </w:p>
        </w:tc>
        <w:tc>
          <w:tcPr>
            <w:tcW w:w="4206" w:type="dxa"/>
            <w:gridSpan w:val="9"/>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(In millions)</w:t>
            </w:r>
          </w:p>
        </w:tc>
      </w:tr>
      <w:tr>
        <w:trPr/>
        <w:tc>
          <w:tcPr>
            <w:tcW w:w="369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$1,100</w:t>
            </w:r>
          </w:p>
        </w:tc>
      </w:tr>
      <w:tr>
        <w:trPr/>
        <w:tc>
          <w:tcPr>
            <w:tcW w:w="369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Operating leases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r>
      <w:tr>
        <w:trPr/>
        <w:tc>
          <w:tcPr>
            <w:tcW w:w="369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Finance leases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w:t>
            </w:r>
          </w:p>
        </w:tc>
      </w:tr>
      <w:tr>
        <w:trPr/>
        <w:tc>
          <w:tcPr>
            <w:tcW w:w="369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Financing obligations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69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 contractual obligations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Off-Balance Sheet Arrangements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no off-balance sheet arrangements that have a material current effect or are reasonably likely to have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 future effect on our results of operations, financial condition, capital expenditures, liquidity or capital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Critical Accounting Policies and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critical accounting policies and estimates are described in “Management’s Discussion and Analysis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Condition and Results of Operations” in our 2025 Form 10-K. There have been no material changes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critical accounting policies and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3.  Quantitative and Qualitative Disclosures about Market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exposed to a variety of market risks, primarily related to the effects of changes in interest rates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credit spreads) and fluctuations in fuel prices. We manage our exposure to these market risks through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regular operating and financing activities and, when deemed appropriate, through the use of derivative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instruments. Derivative financial instruments are viewed as risk management tools and have not been used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speculative or trading purposes. In addition, derivative financial instruments are entered into with a major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institution in order to manage our exposure to counterparty nonperformance on such instruments.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Interest Rate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assessed our exposure to changes in interest rates by analyzing the sensitivity to our earnings assuming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changes in market interest rates. Assuming a hypothetical increase of one percentage point in interest rates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our ABL Credit Facility as of June 30, 2026, our pre-tax earnings would decrease by an estimated $10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a 12-month period. We terminated certain interest rate swap agreements in connection with the entry into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ABL Credit Facility.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66</w:t>
      </w:r>
    </w:p>
    <w:p>
      <w:pPr>
        <w:pStyle w:val="TextBody"/>
        <w:bidi w:val="0"/>
        <w:spacing w:lineRule="atLeast" w:line="200" w:before="0" w:after="0"/>
        <w:jc w:val="left"/>
        <w:rPr/>
      </w:pPr>
      <w:hyperlink w:anchor="i5fdfea6782b54504b07970914d233dfc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Commodity Price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cost of logistics and transportation fluctuates in large part due to the price of oil and demand trends.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fluctuations in our transportation costs in excess of amounts we charge to customers, including the cost of delivery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pick up of construction equipment, could harm our gross profits and margins. If we are unable to successfully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mitigate a significant portion of commodity price increases or fluctuations, our results of operations could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harmed. A 10% increase in our transportation costs, if not recovered through higher charges to our customers, would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have resulted in a change to cost of revenues of approximately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respectively.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Foreign Currency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employ a limited number of software engineers domiciled in the United Kingdom (the “UK”). As a result,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foreign currency risk exposure to exchange rate fluctuations, primarily with respect to payroll, employee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benefits, lease expense, and other costs incurred and paid in British Pounds. During the six months ended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the total costs incurred by our subsidiary in the UK was not material to our operating results. Based on the size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subsidiary in the UK, we do not believe that a 10% change in the British Pound exchange rate would have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 impact on our earnings. We do not engage in purchasing forward exchange contracts for speculative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4.  Controls and Procedures.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Evaluation of Disclosure Controls and Procedures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disclosure controls and procedures (as defined in Exchange Act Rules 13a-15(e) and 15d-15(e))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designed to ensure that information required to be disclosed by us in reports we file or submit under the Exchange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 is recorded, processed, summarized and reported within the appropriate time periods, and that such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accumulated and communicated to our management, including our Chief Executive Officer and Chief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Officer, as appropriate, to allow timely discussions regarding required disclosure.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designing and evaluating our disclosure controls and procedures, management recognizes that any disclosure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controls and procedures, no matter how well designed and operated, can provide only reasonable assurance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achieving the desired control objectives. In addition, the design of disclosure controls and procedures must reflect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fact that there are resource constraints, and that management is required to apply its judgment in evaluating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benefits of possible controls and procedures relative to their costs.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under the supervision of and with participation of our management, including our Chief Executive Officer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Chief Financial Officer, have evaluated the effectiveness of our disclosure controls and procedures. Based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evaluation, our Chief Executive Officer and Chief Financial Officer concluded that the design and operation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disclosure controls and procedures were effective as of June 30, 2026.</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Changes in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There has been no change in our internal control over financial reporting during the fiscal quarter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has materially affected, or is reasonably likely to materially affect, our internal control over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reporting.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  Legal Proceedings.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description of legal proceedings can be found in Note 17. Commitments and Contingencies in this Form 10-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 which is incorporated by reference in answer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1A.  Risk Factors.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 I, Item 1A. “Risk Factors” in our 2025 Form 10-K includes a discussion of our risk factors. Other than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risk factor below, there have been no material changes from the risk factors described in our 2025 Form 10-K.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may disclose changes to such risk factors or disclose additional risk factors from time to time in our SEC filings.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We cannot guarantee that our share repurchase program will be consummated fully or that it will enhance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shareholder value. Stock repurchases could also increase the volatility of the trading price of our stock and could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diminish our cash reserves.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July 2026, our Board authorized a share repurchase program for up to an aggregate amount of $500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outstanding shares of Class A common stock with an expiration date of December 31, 2028. The timing,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 and quantity of purchases under the program will be at the discretion of our management and will depend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a variety of factors including share price, general and business market conditions, compliance with applicable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and regulations, corporate and regulatory requirements, and alternative uses of capital. The program may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amended, suspended or discontinued by the Board at any time. Although the Board has authorized this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is no guarantee as to the exact number of shares that will be repurchased by us, and we may discontinue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purchases at any time if management determines additional purchases are not warranted. We cannot guarantee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program will be consummated fully or that it will enhance shareholder value. The program could affect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trading price of our Class A common stock and increase volatility, and any announcement of a termination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may result in a decrease in the trading price of our Class A common stock. In addition, this program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diminish our cash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  Unregistered Sales of Equity Securities and Use of Proceeds.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5.  Other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Rule 10b5-1 Plan Elections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May 21, 2026, Mark Wopata, the Company’s Executive Vice President of Finance and Chief Data Officer,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adopted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 “Rule 10b5-1 trading arrangement” as defined in Item 408 of Regulation S-K. The trading arrangement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intended to satisfy the affirmative defense of Rule 10b5-1(c) under the Exchange Act and is scheduled to expire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March 31, 2027, subject to earlier termination in accordance with its terms. The aggregate number of shares of Class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common stock authorized to be sold pursuant to the trading arrangement is 93,750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w:t>
      </w:r>
      <w:r>
        <w:rPr>
          <w:caps w:val="false"/>
          <w:smallCaps w:val="false"/>
          <w:sz w:val="24"/>
        </w:rPr>
        <w:t xml:space="preserve"> </w:t>
      </w:r>
      <w:r>
        <w:rPr>
          <w:rFonts w:ascii="Times New Roman;serif" w:hAnsi="Times New Roman;serif"/>
          <w:b w:val="false"/>
          <w:i w:val="false"/>
          <w:caps w:val="false"/>
          <w:smallCaps w:val="false"/>
          <w:sz w:val="20"/>
        </w:rPr>
        <w:t xml:space="preserve">During the thirteen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weeks ended June 30, 2026, no other director or officer (as defined in Rule 16a-1(f) under the Exchange Act)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Company </w:t>
      </w:r>
      <w:r>
        <w:rPr>
          <w:rFonts w:ascii="Times New Roman;serif" w:hAnsi="Times New Roman;serif"/>
          <w:b w:val="false"/>
          <w:i w:val="false"/>
          <w:caps w:val="false"/>
          <w:smallCaps w:val="false"/>
          <w:strike w:val="false"/>
          <w:dstrike w:val="false"/>
          <w:sz w:val="20"/>
          <w:u w:val="none"/>
          <w:effect w:val="none"/>
        </w:rPr>
        <w:t>adopted</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terminated</w:t>
      </w:r>
      <w:r>
        <w:rPr>
          <w:caps w:val="false"/>
          <w:smallCaps w:val="false"/>
          <w:sz w:val="24"/>
        </w:rPr>
        <w:t xml:space="preserve"> </w:t>
      </w:r>
      <w:r>
        <w:rPr>
          <w:rFonts w:ascii="Times New Roman;serif" w:hAnsi="Times New Roman;serif"/>
          <w:b w:val="false"/>
          <w:i w:val="false"/>
          <w:caps w:val="false"/>
          <w:smallCaps w:val="false"/>
          <w:sz w:val="20"/>
        </w:rPr>
        <w:t xml:space="preserve">a “Rule 10b5-1 trading arrangement” or “non-Rule 10b5-1 trading arrangement,”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those terms are defined in Item 408 of Regulation 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6.  Exhibits.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(1)Exhibits: The exhibits to this report are listed in the exhibit index below.</w:t>
      </w:r>
    </w:p>
    <w:tbl>
      <w:tblPr>
        <w:tblW w:w="9045" w:type="dxa"/>
        <w:jc w:val="left"/>
        <w:tblInd w:w="0" w:type="dxa"/>
        <w:tblLayout w:type="fixed"/>
        <w:tblCellMar>
          <w:top w:w="28" w:type="dxa"/>
          <w:left w:w="28" w:type="dxa"/>
          <w:bottom w:w="28" w:type="dxa"/>
          <w:right w:w="28" w:type="dxa"/>
        </w:tblCellMar>
      </w:tblPr>
      <w:tblGrid>
        <w:gridCol w:w="946"/>
        <w:gridCol w:w="109"/>
        <w:gridCol w:w="4006"/>
        <w:gridCol w:w="109"/>
        <w:gridCol w:w="511"/>
        <w:gridCol w:w="886"/>
        <w:gridCol w:w="676"/>
        <w:gridCol w:w="976"/>
        <w:gridCol w:w="826"/>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9" w:type="dxa"/>
            <w:gridSpan w:val="4"/>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Incorporation by Reference</w:t>
            </w:r>
          </w:p>
        </w:tc>
        <w:tc>
          <w:tcPr>
            <w:tcW w:w="8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Exhibit No.</w:t>
            </w:r>
          </w:p>
        </w:tc>
        <w:tc>
          <w:tcPr>
            <w:tcW w:w="109" w:type="dxa"/>
            <w:tcBorders/>
            <w:vAlign w:val="center"/>
          </w:tcPr>
          <w:p>
            <w:pPr>
              <w:pStyle w:val="TableContents"/>
              <w:bidi w:val="0"/>
              <w:spacing w:before="0" w:after="283"/>
              <w:jc w:val="left"/>
              <w:rPr>
                <w:sz w:val="4"/>
                <w:szCs w:val="4"/>
              </w:rPr>
            </w:pPr>
            <w:r>
              <w:rPr>
                <w:sz w:val="4"/>
                <w:szCs w:val="4"/>
              </w:rPr>
            </w:r>
          </w:p>
        </w:tc>
        <w:tc>
          <w:tcPr>
            <w:tcW w:w="40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Form</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File No.</w:t>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w:t>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Filing Date</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Filed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Herewith</w:t>
            </w:r>
          </w:p>
        </w:tc>
      </w:tr>
      <w:tr>
        <w:trPr/>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pPr>
            <w:hyperlink r:id="rId2">
              <w:r>
                <w:rPr>
                  <w:rStyle w:val="InternetLink"/>
                  <w:rFonts w:ascii="Times New Roman;serif" w:hAnsi="Times New Roman;serif"/>
                  <w:b w:val="false"/>
                  <w:i w:val="false"/>
                  <w:caps w:val="false"/>
                  <w:smallCaps w:val="false"/>
                  <w:color w:val="0000FF"/>
                  <w:sz w:val="18"/>
                  <w:u w:val="single"/>
                </w:rPr>
                <w:t>Amended and Restated Certificate of Formation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8-K</w:t>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001-43062</w:t>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w:t>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January 26,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2026</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pPr>
            <w:hyperlink r:id="rId3">
              <w:r>
                <w:rPr>
                  <w:rStyle w:val="InternetLink"/>
                  <w:rFonts w:ascii="Times New Roman;serif" w:hAnsi="Times New Roman;serif"/>
                  <w:b w:val="false"/>
                  <w:i w:val="false"/>
                  <w:caps w:val="false"/>
                  <w:smallCaps w:val="false"/>
                  <w:color w:val="0000FF"/>
                  <w:sz w:val="18"/>
                  <w:u w:val="single"/>
                </w:rPr>
                <w:t>Amended and Restated Bylaws</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8-K</w:t>
            </w:r>
          </w:p>
        </w:tc>
        <w:tc>
          <w:tcPr>
            <w:tcW w:w="88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001-43062</w:t>
            </w:r>
          </w:p>
        </w:tc>
        <w:tc>
          <w:tcPr>
            <w:tcW w:w="6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January 26,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2026</w:t>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pPr>
            <w:hyperlink r:id="rId4">
              <w:r>
                <w:rPr>
                  <w:rStyle w:val="InternetLink"/>
                  <w:rFonts w:ascii="Times New Roman;serif" w:hAnsi="Times New Roman;serif"/>
                  <w:b w:val="false"/>
                  <w:i w:val="false"/>
                  <w:caps w:val="false"/>
                  <w:smallCaps w:val="false"/>
                  <w:color w:val="0000FF"/>
                  <w:sz w:val="18"/>
                  <w:u w:val="single"/>
                </w:rPr>
                <w:t xml:space="preserve">Indenture, dated as of July 1, 2026 by and among </w:t>
              </w:r>
            </w:hyperlink>
          </w:p>
          <w:p>
            <w:pPr>
              <w:pStyle w:val="TableContents"/>
              <w:bidi w:val="0"/>
              <w:spacing w:lineRule="atLeast" w:line="180" w:before="0" w:after="0"/>
              <w:jc w:val="left"/>
              <w:rPr/>
            </w:pPr>
            <w:hyperlink r:id="rId5">
              <w:r>
                <w:rPr>
                  <w:rStyle w:val="InternetLink"/>
                  <w:rFonts w:ascii="Times New Roman;serif" w:hAnsi="Times New Roman;serif"/>
                  <w:b w:val="false"/>
                  <w:i w:val="false"/>
                  <w:caps w:val="false"/>
                  <w:smallCaps w:val="false"/>
                  <w:color w:val="0000FF"/>
                  <w:sz w:val="18"/>
                  <w:u w:val="single"/>
                </w:rPr>
                <w:t xml:space="preserve">Equipmentshare.com Inc and Citibank, N.A. as trustee </w:t>
              </w:r>
            </w:hyperlink>
          </w:p>
          <w:p>
            <w:pPr>
              <w:pStyle w:val="TableContents"/>
              <w:bidi w:val="0"/>
              <w:spacing w:lineRule="atLeast" w:line="180" w:before="0" w:after="0"/>
              <w:jc w:val="left"/>
              <w:rPr/>
            </w:pPr>
            <w:hyperlink r:id="rId6">
              <w:r>
                <w:rPr>
                  <w:rStyle w:val="InternetLink"/>
                  <w:rFonts w:ascii="Times New Roman;serif" w:hAnsi="Times New Roman;serif"/>
                  <w:b w:val="false"/>
                  <w:i w:val="false"/>
                  <w:caps w:val="false"/>
                  <w:smallCaps w:val="false"/>
                  <w:color w:val="0000FF"/>
                  <w:sz w:val="18"/>
                  <w:u w:val="single"/>
                </w:rPr>
                <w:t xml:space="preserve">and notes collateral agent, governing the 7.125% </w:t>
              </w:r>
            </w:hyperlink>
          </w:p>
          <w:p>
            <w:pPr>
              <w:pStyle w:val="TableContents"/>
              <w:bidi w:val="0"/>
              <w:spacing w:lineRule="atLeast" w:line="180" w:before="0" w:after="0"/>
              <w:jc w:val="left"/>
              <w:rPr/>
            </w:pPr>
            <w:hyperlink r:id="rId7">
              <w:r>
                <w:rPr>
                  <w:rStyle w:val="InternetLink"/>
                  <w:rFonts w:ascii="Times New Roman;serif" w:hAnsi="Times New Roman;serif"/>
                  <w:b w:val="false"/>
                  <w:i w:val="false"/>
                  <w:caps w:val="false"/>
                  <w:smallCaps w:val="false"/>
                  <w:color w:val="0000FF"/>
                  <w:sz w:val="18"/>
                  <w:u w:val="single"/>
                </w:rPr>
                <w:t>Senior Secured Second Lien Notes due 2034.</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8-K</w:t>
            </w:r>
          </w:p>
        </w:tc>
        <w:tc>
          <w:tcPr>
            <w:tcW w:w="88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001-43062</w:t>
            </w:r>
          </w:p>
        </w:tc>
        <w:tc>
          <w:tcPr>
            <w:tcW w:w="6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July 1,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2026</w:t>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pPr>
            <w:hyperlink r:id="rId8">
              <w:r>
                <w:rPr>
                  <w:rStyle w:val="InternetLink"/>
                  <w:rFonts w:ascii="Times New Roman;serif" w:hAnsi="Times New Roman;serif"/>
                  <w:b w:val="false"/>
                  <w:i w:val="false"/>
                  <w:caps w:val="false"/>
                  <w:smallCaps w:val="false"/>
                  <w:color w:val="0000FF"/>
                  <w:sz w:val="18"/>
                  <w:u w:val="single"/>
                </w:rPr>
                <w:t xml:space="preserve">Form of 7.125% Senior Secured Second Lien Notes </w:t>
              </w:r>
            </w:hyperlink>
          </w:p>
          <w:p>
            <w:pPr>
              <w:pStyle w:val="TableContents"/>
              <w:bidi w:val="0"/>
              <w:spacing w:lineRule="atLeast" w:line="180" w:before="0" w:after="0"/>
              <w:jc w:val="left"/>
              <w:rPr/>
            </w:pPr>
            <w:hyperlink r:id="rId9">
              <w:r>
                <w:rPr>
                  <w:rStyle w:val="InternetLink"/>
                  <w:rFonts w:ascii="Times New Roman;serif" w:hAnsi="Times New Roman;serif"/>
                  <w:b w:val="false"/>
                  <w:i w:val="false"/>
                  <w:caps w:val="false"/>
                  <w:smallCaps w:val="false"/>
                  <w:color w:val="0000FF"/>
                  <w:sz w:val="18"/>
                  <w:u w:val="single"/>
                </w:rPr>
                <w:t>due 2034 (included in Exhibit 4.1).</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8-K</w:t>
            </w:r>
          </w:p>
        </w:tc>
        <w:tc>
          <w:tcPr>
            <w:tcW w:w="88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001-43062</w:t>
            </w:r>
          </w:p>
        </w:tc>
        <w:tc>
          <w:tcPr>
            <w:tcW w:w="6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w:t>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July 1,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2026</w:t>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pPr>
            <w:hyperlink w:anchor="ex101-2025omnibusincentive.htm">
              <w:r>
                <w:rPr>
                  <w:rStyle w:val="InternetLink"/>
                  <w:rFonts w:ascii="Times New Roman;serif" w:hAnsi="Times New Roman;serif"/>
                  <w:b w:val="false"/>
                  <w:i w:val="false"/>
                  <w:caps w:val="false"/>
                  <w:smallCaps w:val="false"/>
                  <w:color w:val="0000FF"/>
                  <w:sz w:val="18"/>
                  <w:u w:val="single"/>
                </w:rPr>
                <w:t xml:space="preserve">Form of Restricted Stock Unit Award Agreement For </w:t>
              </w:r>
            </w:hyperlink>
          </w:p>
          <w:p>
            <w:pPr>
              <w:pStyle w:val="TableContents"/>
              <w:bidi w:val="0"/>
              <w:spacing w:lineRule="atLeast" w:line="180" w:before="0" w:after="0"/>
              <w:jc w:val="left"/>
              <w:rPr/>
            </w:pPr>
            <w:hyperlink w:anchor="ex101-2025omnibusincentive.htm">
              <w:r>
                <w:rPr>
                  <w:rStyle w:val="InternetLink"/>
                  <w:rFonts w:ascii="Times New Roman;serif" w:hAnsi="Times New Roman;serif"/>
                  <w:b w:val="false"/>
                  <w:i w:val="false"/>
                  <w:caps w:val="false"/>
                  <w:smallCaps w:val="false"/>
                  <w:color w:val="0000FF"/>
                  <w:sz w:val="18"/>
                  <w:u w:val="single"/>
                </w:rPr>
                <w:t xml:space="preserve">Executive Officers under the 2025 Omnibus Incentive </w:t>
              </w:r>
            </w:hyperlink>
          </w:p>
          <w:p>
            <w:pPr>
              <w:pStyle w:val="TableContents"/>
              <w:bidi w:val="0"/>
              <w:spacing w:lineRule="atLeast" w:line="180" w:before="0" w:after="0"/>
              <w:jc w:val="left"/>
              <w:rPr/>
            </w:pPr>
            <w:hyperlink w:anchor="ex101-2025omnibusincentive.htm">
              <w:r>
                <w:rPr>
                  <w:rStyle w:val="InternetLink"/>
                  <w:rFonts w:ascii="Times New Roman;serif" w:hAnsi="Times New Roman;serif"/>
                  <w:b w:val="false"/>
                  <w:i w:val="false"/>
                  <w:caps w:val="false"/>
                  <w:smallCaps w:val="false"/>
                  <w:color w:val="0000FF"/>
                  <w:sz w:val="18"/>
                  <w:u w:val="single"/>
                </w:rPr>
                <w:t>Plan.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w:t>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pPr>
            <w:hyperlink w:anchor="exhibit311eqptq22026.htm">
              <w:r>
                <w:rPr>
                  <w:rStyle w:val="InternetLink"/>
                  <w:rFonts w:ascii="Times New Roman;serif" w:hAnsi="Times New Roman;serif"/>
                  <w:b w:val="false"/>
                  <w:i w:val="false"/>
                  <w:caps w:val="false"/>
                  <w:smallCaps w:val="false"/>
                  <w:color w:val="0000FF"/>
                  <w:sz w:val="18"/>
                  <w:u w:val="single"/>
                </w:rPr>
                <w:t xml:space="preserve">Certification of the Principal Executive Officer </w:t>
              </w:r>
            </w:hyperlink>
          </w:p>
          <w:p>
            <w:pPr>
              <w:pStyle w:val="TableContents"/>
              <w:bidi w:val="0"/>
              <w:spacing w:lineRule="atLeast" w:line="180" w:before="0" w:after="0"/>
              <w:jc w:val="left"/>
              <w:rPr/>
            </w:pPr>
            <w:hyperlink w:anchor="exhibit311eqptq22026.htm">
              <w:r>
                <w:rPr>
                  <w:rStyle w:val="InternetLink"/>
                  <w:rFonts w:ascii="Times New Roman;serif" w:hAnsi="Times New Roman;serif"/>
                  <w:b w:val="false"/>
                  <w:i w:val="false"/>
                  <w:caps w:val="false"/>
                  <w:smallCaps w:val="false"/>
                  <w:color w:val="0000FF"/>
                  <w:sz w:val="18"/>
                  <w:u w:val="single"/>
                </w:rPr>
                <w:t xml:space="preserve">Pursuant to Rules 13a-14(a) and 15d-14(a) under the </w:t>
              </w:r>
            </w:hyperlink>
          </w:p>
          <w:p>
            <w:pPr>
              <w:pStyle w:val="TableContents"/>
              <w:bidi w:val="0"/>
              <w:spacing w:lineRule="atLeast" w:line="180" w:before="0" w:after="0"/>
              <w:jc w:val="left"/>
              <w:rPr/>
            </w:pPr>
            <w:hyperlink w:anchor="exhibit311eqptq22026.htm">
              <w:r>
                <w:rPr>
                  <w:rStyle w:val="InternetLink"/>
                  <w:rFonts w:ascii="Times New Roman;serif" w:hAnsi="Times New Roman;serif"/>
                  <w:b w:val="false"/>
                  <w:i w:val="false"/>
                  <w:caps w:val="false"/>
                  <w:smallCaps w:val="false"/>
                  <w:color w:val="0000FF"/>
                  <w:sz w:val="18"/>
                  <w:u w:val="single"/>
                </w:rPr>
                <w:t xml:space="preserve">Securities Exchange Act of 1934, as Adopted </w:t>
              </w:r>
            </w:hyperlink>
          </w:p>
          <w:p>
            <w:pPr>
              <w:pStyle w:val="TableContents"/>
              <w:bidi w:val="0"/>
              <w:spacing w:lineRule="atLeast" w:line="180" w:before="0" w:after="0"/>
              <w:jc w:val="left"/>
              <w:rPr/>
            </w:pPr>
            <w:hyperlink w:anchor="exhibit311eqptq22026.htm">
              <w:r>
                <w:rPr>
                  <w:rStyle w:val="InternetLink"/>
                  <w:rFonts w:ascii="Times New Roman;serif" w:hAnsi="Times New Roman;serif"/>
                  <w:b w:val="false"/>
                  <w:i w:val="false"/>
                  <w:caps w:val="false"/>
                  <w:smallCaps w:val="false"/>
                  <w:color w:val="0000FF"/>
                  <w:sz w:val="18"/>
                  <w:u w:val="single"/>
                </w:rPr>
                <w:t xml:space="preserve">Pursuant to Section 302 of the Sarbanes-Oxley Act of </w:t>
              </w:r>
            </w:hyperlink>
          </w:p>
          <w:p>
            <w:pPr>
              <w:pStyle w:val="TableContents"/>
              <w:bidi w:val="0"/>
              <w:spacing w:lineRule="atLeast" w:line="180" w:before="0" w:after="0"/>
              <w:jc w:val="left"/>
              <w:rPr/>
            </w:pPr>
            <w:hyperlink w:anchor="exhibit311eqptq22026.htm">
              <w:r>
                <w:rPr>
                  <w:rStyle w:val="InternetLink"/>
                  <w:rFonts w:ascii="Times New Roman;serif" w:hAnsi="Times New Roman;serif"/>
                  <w:b w:val="false"/>
                  <w:i w:val="false"/>
                  <w:caps w:val="false"/>
                  <w:smallCaps w:val="false"/>
                  <w:color w:val="0000FF"/>
                  <w:sz w:val="18"/>
                  <w:u w:val="single"/>
                </w:rPr>
                <w:t>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w:t>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pPr>
            <w:hyperlink w:anchor="exhibit312eqptq22026.htm">
              <w:r>
                <w:rPr>
                  <w:rStyle w:val="InternetLink"/>
                  <w:rFonts w:ascii="Times New Roman;serif" w:hAnsi="Times New Roman;serif"/>
                  <w:b w:val="false"/>
                  <w:i w:val="false"/>
                  <w:caps w:val="false"/>
                  <w:smallCaps w:val="false"/>
                  <w:color w:val="0000FF"/>
                  <w:sz w:val="18"/>
                  <w:u w:val="single"/>
                </w:rPr>
                <w:t xml:space="preserve">Certification of the Principal Financial Officer </w:t>
              </w:r>
            </w:hyperlink>
          </w:p>
          <w:p>
            <w:pPr>
              <w:pStyle w:val="TableContents"/>
              <w:bidi w:val="0"/>
              <w:spacing w:lineRule="atLeast" w:line="180" w:before="0" w:after="0"/>
              <w:jc w:val="left"/>
              <w:rPr/>
            </w:pPr>
            <w:hyperlink w:anchor="exhibit312eqptq22026.htm">
              <w:r>
                <w:rPr>
                  <w:rStyle w:val="InternetLink"/>
                  <w:rFonts w:ascii="Times New Roman;serif" w:hAnsi="Times New Roman;serif"/>
                  <w:b w:val="false"/>
                  <w:i w:val="false"/>
                  <w:caps w:val="false"/>
                  <w:smallCaps w:val="false"/>
                  <w:color w:val="0000FF"/>
                  <w:sz w:val="18"/>
                  <w:u w:val="single"/>
                </w:rPr>
                <w:t xml:space="preserve">Pursuant to Rules 13a-14(a) and 15d-14(a) under the </w:t>
              </w:r>
            </w:hyperlink>
          </w:p>
          <w:p>
            <w:pPr>
              <w:pStyle w:val="TableContents"/>
              <w:bidi w:val="0"/>
              <w:spacing w:lineRule="atLeast" w:line="180" w:before="0" w:after="0"/>
              <w:jc w:val="left"/>
              <w:rPr/>
            </w:pPr>
            <w:hyperlink w:anchor="exhibit312eqptq22026.htm">
              <w:r>
                <w:rPr>
                  <w:rStyle w:val="InternetLink"/>
                  <w:rFonts w:ascii="Times New Roman;serif" w:hAnsi="Times New Roman;serif"/>
                  <w:b w:val="false"/>
                  <w:i w:val="false"/>
                  <w:caps w:val="false"/>
                  <w:smallCaps w:val="false"/>
                  <w:color w:val="0000FF"/>
                  <w:sz w:val="18"/>
                  <w:u w:val="single"/>
                </w:rPr>
                <w:t xml:space="preserve">Securities Exchange Act of 1934, as Adopted </w:t>
              </w:r>
            </w:hyperlink>
          </w:p>
          <w:p>
            <w:pPr>
              <w:pStyle w:val="TableContents"/>
              <w:bidi w:val="0"/>
              <w:spacing w:lineRule="atLeast" w:line="180" w:before="0" w:after="0"/>
              <w:jc w:val="left"/>
              <w:rPr/>
            </w:pPr>
            <w:hyperlink w:anchor="exhibit312eqptq22026.htm">
              <w:r>
                <w:rPr>
                  <w:rStyle w:val="InternetLink"/>
                  <w:rFonts w:ascii="Times New Roman;serif" w:hAnsi="Times New Roman;serif"/>
                  <w:b w:val="false"/>
                  <w:i w:val="false"/>
                  <w:caps w:val="false"/>
                  <w:smallCaps w:val="false"/>
                  <w:color w:val="0000FF"/>
                  <w:sz w:val="18"/>
                  <w:u w:val="single"/>
                </w:rPr>
                <w:t xml:space="preserve">Pursuant to Section 302 of the Sarbanes-Oxley Act of </w:t>
              </w:r>
            </w:hyperlink>
          </w:p>
          <w:p>
            <w:pPr>
              <w:pStyle w:val="TableContents"/>
              <w:bidi w:val="0"/>
              <w:spacing w:lineRule="atLeast" w:line="180" w:before="0" w:after="0"/>
              <w:jc w:val="left"/>
              <w:rPr/>
            </w:pPr>
            <w:hyperlink w:anchor="exhibit312eqptq22026.htm">
              <w:r>
                <w:rPr>
                  <w:rStyle w:val="InternetLink"/>
                  <w:rFonts w:ascii="Times New Roman;serif" w:hAnsi="Times New Roman;serif"/>
                  <w:b w:val="false"/>
                  <w:i w:val="false"/>
                  <w:caps w:val="false"/>
                  <w:smallCaps w:val="false"/>
                  <w:color w:val="0000FF"/>
                  <w:sz w:val="18"/>
                  <w:u w:val="single"/>
                </w:rPr>
                <w:t>2002</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w:t>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pPr>
            <w:hyperlink w:anchor="exhibit321eqptq22026.htm">
              <w:r>
                <w:rPr>
                  <w:rStyle w:val="InternetLink"/>
                  <w:rFonts w:ascii="Times New Roman;serif" w:hAnsi="Times New Roman;serif"/>
                  <w:b w:val="false"/>
                  <w:i w:val="false"/>
                  <w:caps w:val="false"/>
                  <w:smallCaps w:val="false"/>
                  <w:color w:val="0000FF"/>
                  <w:sz w:val="18"/>
                  <w:u w:val="single"/>
                </w:rPr>
                <w:t xml:space="preserve">Certification of the Principal Executive Officer </w:t>
              </w:r>
            </w:hyperlink>
          </w:p>
          <w:p>
            <w:pPr>
              <w:pStyle w:val="TableContents"/>
              <w:bidi w:val="0"/>
              <w:spacing w:lineRule="atLeast" w:line="180" w:before="0" w:after="0"/>
              <w:jc w:val="left"/>
              <w:rPr/>
            </w:pPr>
            <w:hyperlink w:anchor="exhibit321eqptq22026.htm">
              <w:r>
                <w:rPr>
                  <w:rStyle w:val="InternetLink"/>
                  <w:rFonts w:ascii="Times New Roman;serif" w:hAnsi="Times New Roman;serif"/>
                  <w:b w:val="false"/>
                  <w:i w:val="false"/>
                  <w:caps w:val="false"/>
                  <w:smallCaps w:val="false"/>
                  <w:color w:val="0000FF"/>
                  <w:sz w:val="18"/>
                  <w:u w:val="single"/>
                </w:rPr>
                <w:t xml:space="preserve">Pursuant to 18 U.S.C. Section 1350, as Adopted </w:t>
              </w:r>
            </w:hyperlink>
          </w:p>
          <w:p>
            <w:pPr>
              <w:pStyle w:val="TableContents"/>
              <w:bidi w:val="0"/>
              <w:spacing w:lineRule="atLeast" w:line="180" w:before="0" w:after="0"/>
              <w:jc w:val="left"/>
              <w:rPr/>
            </w:pPr>
            <w:hyperlink w:anchor="exhibit321eqptq22026.htm">
              <w:r>
                <w:rPr>
                  <w:rStyle w:val="InternetLink"/>
                  <w:rFonts w:ascii="Times New Roman;serif" w:hAnsi="Times New Roman;serif"/>
                  <w:b w:val="false"/>
                  <w:i w:val="false"/>
                  <w:caps w:val="false"/>
                  <w:smallCaps w:val="false"/>
                  <w:color w:val="0000FF"/>
                  <w:sz w:val="18"/>
                  <w:u w:val="single"/>
                </w:rPr>
                <w:t xml:space="preserve">Pursuant to Section 906 of the Sarbanes-Oxley Act of </w:t>
              </w:r>
            </w:hyperlink>
          </w:p>
          <w:p>
            <w:pPr>
              <w:pStyle w:val="TableContents"/>
              <w:bidi w:val="0"/>
              <w:spacing w:lineRule="atLeast" w:line="180" w:before="0" w:after="0"/>
              <w:jc w:val="left"/>
              <w:rPr/>
            </w:pPr>
            <w:hyperlink w:anchor="exhibit321eqptq22026.htm">
              <w:r>
                <w:rPr>
                  <w:rStyle w:val="InternetLink"/>
                  <w:rFonts w:ascii="Times New Roman;serif" w:hAnsi="Times New Roman;serif"/>
                  <w:b w:val="false"/>
                  <w:i w:val="false"/>
                  <w:caps w:val="false"/>
                  <w:smallCaps w:val="false"/>
                  <w:color w:val="0000FF"/>
                  <w:sz w:val="18"/>
                  <w:u w:val="single"/>
                </w:rPr>
                <w:t>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w:t>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pPr>
            <w:hyperlink w:anchor="exhibit322eqptq22026.htm">
              <w:r>
                <w:rPr>
                  <w:rStyle w:val="InternetLink"/>
                  <w:rFonts w:ascii="Times New Roman;serif" w:hAnsi="Times New Roman;serif"/>
                  <w:b w:val="false"/>
                  <w:i w:val="false"/>
                  <w:caps w:val="false"/>
                  <w:smallCaps w:val="false"/>
                  <w:color w:val="0000FF"/>
                  <w:sz w:val="18"/>
                  <w:u w:val="single"/>
                </w:rPr>
                <w:t xml:space="preserve">Certification of the Principal Financial Officer </w:t>
              </w:r>
            </w:hyperlink>
          </w:p>
          <w:p>
            <w:pPr>
              <w:pStyle w:val="TableContents"/>
              <w:bidi w:val="0"/>
              <w:spacing w:lineRule="atLeast" w:line="180" w:before="0" w:after="0"/>
              <w:jc w:val="left"/>
              <w:rPr/>
            </w:pPr>
            <w:hyperlink w:anchor="exhibit322eqptq22026.htm">
              <w:r>
                <w:rPr>
                  <w:rStyle w:val="InternetLink"/>
                  <w:rFonts w:ascii="Times New Roman;serif" w:hAnsi="Times New Roman;serif"/>
                  <w:b w:val="false"/>
                  <w:i w:val="false"/>
                  <w:caps w:val="false"/>
                  <w:smallCaps w:val="false"/>
                  <w:color w:val="0000FF"/>
                  <w:sz w:val="18"/>
                  <w:u w:val="single"/>
                </w:rPr>
                <w:t xml:space="preserve">Pursuant to 18 U.S.C. Section 1350, as Adopted </w:t>
              </w:r>
            </w:hyperlink>
          </w:p>
          <w:p>
            <w:pPr>
              <w:pStyle w:val="TableContents"/>
              <w:bidi w:val="0"/>
              <w:spacing w:lineRule="atLeast" w:line="180" w:before="0" w:after="0"/>
              <w:jc w:val="left"/>
              <w:rPr/>
            </w:pPr>
            <w:hyperlink w:anchor="exhibit322eqptq22026.htm">
              <w:r>
                <w:rPr>
                  <w:rStyle w:val="InternetLink"/>
                  <w:rFonts w:ascii="Times New Roman;serif" w:hAnsi="Times New Roman;serif"/>
                  <w:b w:val="false"/>
                  <w:i w:val="false"/>
                  <w:caps w:val="false"/>
                  <w:smallCaps w:val="false"/>
                  <w:color w:val="0000FF"/>
                  <w:sz w:val="18"/>
                  <w:u w:val="single"/>
                </w:rPr>
                <w:t xml:space="preserve">Pursuant to Section 906 of the Sarbanes-Oxley Act of </w:t>
              </w:r>
            </w:hyperlink>
          </w:p>
          <w:p>
            <w:pPr>
              <w:pStyle w:val="TableContents"/>
              <w:bidi w:val="0"/>
              <w:spacing w:lineRule="atLeast" w:line="180" w:before="0" w:after="0"/>
              <w:jc w:val="left"/>
              <w:rPr/>
            </w:pPr>
            <w:hyperlink w:anchor="exhibit322eqptq22026.htm">
              <w:r>
                <w:rPr>
                  <w:rStyle w:val="InternetLink"/>
                  <w:rFonts w:ascii="Times New Roman;serif" w:hAnsi="Times New Roman;serif"/>
                  <w:b w:val="false"/>
                  <w:i w:val="false"/>
                  <w:caps w:val="false"/>
                  <w:smallCaps w:val="false"/>
                  <w:color w:val="0000FF"/>
                  <w:sz w:val="18"/>
                  <w:u w:val="single"/>
                </w:rPr>
                <w:t>2002</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w:t>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101.INS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Inline XBRL Instance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101.SCH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Inline XBRL Taxonomy Extension Schema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Document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101.CAL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Inline XBRL Taxonomy Extension Calculation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101.DEF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Inline XBRL Taxonomy Extension Definition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Linkbase Document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101.LAB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Inline XBRL Taxonomy Extension Label Linkbase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9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101.PRE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Inline XBRL Taxonomy Extension Presentation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Linkbase Document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Cover Page Interactive Data File (formatted as Inline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XBRL and contained in Exhibit 101)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*Indicates a management contract or compensatory plan.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**This certification is deemed not filed for purposes of section 18 of the Exchange Act, or otherwise subject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the liability of that section, nor shall it be deemed incorporated by reference into any filing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 Act or the Exchange Act.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SIGNATURES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the requirements of the Securities Exchange Act of 1934, the registrant has duly caused this report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be signed on its behalf by the undersigned thereunto duly authorized.</w:t>
      </w:r>
    </w:p>
    <w:tbl>
      <w:tblPr>
        <w:tblW w:w="7966" w:type="dxa"/>
        <w:jc w:val="left"/>
        <w:tblInd w:w="0" w:type="dxa"/>
        <w:tblLayout w:type="fixed"/>
        <w:tblCellMar>
          <w:top w:w="28" w:type="dxa"/>
          <w:left w:w="28" w:type="dxa"/>
          <w:bottom w:w="28" w:type="dxa"/>
          <w:right w:w="28" w:type="dxa"/>
        </w:tblCellMar>
      </w:tblPr>
      <w:tblGrid>
        <w:gridCol w:w="556"/>
        <w:gridCol w:w="1456"/>
        <w:gridCol w:w="1499"/>
        <w:gridCol w:w="1842"/>
        <w:gridCol w:w="2613"/>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954" w:type="dxa"/>
            <w:gridSpan w:val="3"/>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EquipmentShare.com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13, 2026</w:t>
            </w:r>
          </w:p>
        </w:tc>
        <w:tc>
          <w:tcPr>
            <w:tcW w:w="149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4455" w:type="dxa"/>
            <w:gridSpan w:val="2"/>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David Marquardt</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9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tc>
        <w:tc>
          <w:tcPr>
            <w:tcW w:w="4455" w:type="dxa"/>
            <w:gridSpan w:val="2"/>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David Marquardt</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4455" w:type="dxa"/>
            <w:gridSpan w:val="2"/>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EQUIPMENTSHARE.COM INC </w:t>
        <w:br/>
        <w:t>2025 OMNIBUS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EXECUTIVE OFFICER RESTRICTED STOCK UNIT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Unless otherwise defined herein, the terms defined in the EquipmentShare.com Inc 2025 Omnibus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will have the same defined meanings in this Restricted Stock Unit Agreement, which includes the Notice of Restricted Stock Unit Grant (the “</w:t>
      </w:r>
      <w:r>
        <w:rPr>
          <w:rFonts w:ascii="Times New Roman;serif" w:hAnsi="Times New Roman;serif"/>
          <w:b w:val="false"/>
          <w:color w:val="000000"/>
          <w:sz w:val="24"/>
          <w:u w:val="single"/>
        </w:rPr>
        <w:t>Notice of Grant</w:t>
      </w:r>
      <w:r>
        <w:rPr>
          <w:color w:val="000000"/>
        </w:rPr>
        <w:t>”</w:t>
      </w:r>
      <w:r>
        <w:rPr>
          <w:rFonts w:ascii="Times New Roman;serif" w:hAnsi="Times New Roman;serif"/>
          <w:b w:val="false"/>
          <w:color w:val="000000"/>
          <w:sz w:val="24"/>
        </w:rPr>
        <w:t xml:space="preserve">), the Terms and Conditions of Restricted Stock Unit Grant,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and all other exhibits and appendices hereto (all together,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NOTICE OF RESTRICTED STOCK UNIT GRANT</w:t>
      </w:r>
    </w:p>
    <w:p>
      <w:pPr>
        <w:pStyle w:val="TextBody"/>
        <w:bidi w:val="0"/>
        <w:spacing w:lineRule="auto" w:line="288" w:before="240" w:after="283"/>
        <w:ind w:left="0" w:right="0" w:firstLine="720"/>
        <w:jc w:val="both"/>
        <w:rPr/>
      </w:pPr>
      <w:r>
        <w:rPr>
          <w:rFonts w:ascii="Times New Roman;serif" w:hAnsi="Times New Roman;serif"/>
          <w:b/>
          <w:color w:val="000000"/>
          <w:sz w:val="24"/>
        </w:rPr>
        <w:t xml:space="preserve">Participant: </w:t>
      </w:r>
      <w:r>
        <w:rPr>
          <w:rFonts w:ascii="Times New Roman;serif" w:hAnsi="Times New Roman;serif"/>
          <w:b w:val="false"/>
          <w:color w:val="000000"/>
          <w:sz w:val="24"/>
        </w:rPr>
        <w:t>[]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r>
        <w:rPr>
          <w:color w:val="000000"/>
        </w:rPr>
        <w:t>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EquipmentShare.com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has granted Participant the right to receive an Award of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subject to the terms and conditions of the Plan and this Award Agreement, as follows:</w:t>
      </w:r>
    </w:p>
    <w:tbl>
      <w:tblPr>
        <w:tblW w:w="2803" w:type="dxa"/>
        <w:jc w:val="left"/>
        <w:tblInd w:w="0" w:type="dxa"/>
        <w:tblLayout w:type="fixed"/>
        <w:tblCellMar>
          <w:top w:w="28" w:type="dxa"/>
          <w:left w:w="28" w:type="dxa"/>
          <w:bottom w:w="28" w:type="dxa"/>
          <w:right w:w="28" w:type="dxa"/>
        </w:tblCellMar>
      </w:tblPr>
      <w:tblGrid>
        <w:gridCol w:w="667"/>
        <w:gridCol w:w="588"/>
        <w:gridCol w:w="589"/>
        <w:gridCol w:w="280"/>
        <w:gridCol w:w="280"/>
        <w:gridCol w:w="399"/>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Grant Number:</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Grant Date:</w:t>
            </w:r>
          </w:p>
        </w:tc>
        <w:tc>
          <w:tcPr>
            <w:tcW w:w="9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Number of RSUs:</w:t>
            </w:r>
          </w:p>
        </w:tc>
        <w:tc>
          <w:tcPr>
            <w:tcW w:w="9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Vesting Schedule:</w:t>
            </w:r>
          </w:p>
        </w:tc>
        <w:tc>
          <w:tcPr>
            <w:tcW w:w="9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240" w:after="283"/>
        <w:ind w:left="0" w:right="0" w:firstLine="720"/>
        <w:jc w:val="both"/>
        <w:rPr/>
      </w:pPr>
      <w:r>
        <w:rPr>
          <w:rFonts w:ascii="Times New Roman;serif" w:hAnsi="Times New Roman;serif"/>
          <w:b/>
          <w:color w:val="000000"/>
          <w:sz w:val="24"/>
        </w:rPr>
        <w:t xml:space="preserve">If Participant does </w:t>
      </w:r>
      <w:r>
        <w:rPr>
          <w:rFonts w:ascii="Times New Roman;serif" w:hAnsi="Times New Roman;serif"/>
          <w:b/>
          <w:color w:val="000000"/>
          <w:sz w:val="24"/>
          <w:u w:val="single"/>
        </w:rPr>
        <w:t>not</w:t>
      </w:r>
      <w:r>
        <w:rPr>
          <w:color w:val="000000"/>
        </w:rPr>
        <w:t xml:space="preserve"> </w:t>
      </w:r>
      <w:r>
        <w:rPr>
          <w:rFonts w:ascii="Times New Roman;serif" w:hAnsi="Times New Roman;serif"/>
          <w:b/>
          <w:color w:val="000000"/>
          <w:sz w:val="24"/>
        </w:rPr>
        <w:t xml:space="preserve">wish to accept this Award Agreement and the RSUs granted hereunder, Participant must inform the Company in writing (by writing to [EMAIL]) within forty-five (45) days after the Grant Date, in which case the Company will cancel this Award and the RSUs granted hereunder will be immediately forfeited and canceled in their entirety without any payment or consideration being due from the Company. </w:t>
      </w:r>
      <w:r>
        <w:rPr>
          <w:rFonts w:ascii="Times New Roman;serif" w:hAnsi="Times New Roman;serif"/>
          <w:b/>
          <w:color w:val="000000"/>
          <w:sz w:val="24"/>
          <w:u w:val="single"/>
        </w:rPr>
        <w:t>If, during such period, Participant does not inform the Company in writing of his or her refusal to accept this Award of RSUs, then Participant will be deemed to have accepted this Award of RSUs and, by accepting, to</w:t>
      </w:r>
      <w:r>
        <w:rPr>
          <w:rFonts w:ascii="Times New Roman;serif" w:hAnsi="Times New Roman;serif"/>
          <w:b/>
          <w:color w:val="000000"/>
          <w:sz w:val="24"/>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4"/>
        </w:rPr>
        <w:t xml:space="preserve">agree that this Award of RSUs is granted under and governed by the terms and conditions of the Plan and this Award Agreement, including the Terms and Conditions of Restricted Stock Unit Grant, attached hereto as </w:t>
      </w:r>
      <w:r>
        <w:rPr>
          <w:rFonts w:ascii="Times New Roman;serif" w:hAnsi="Times New Roman;serif"/>
          <w:b/>
          <w:color w:val="000000"/>
          <w:sz w:val="24"/>
          <w:u w:val="single"/>
        </w:rPr>
        <w:t>Exhibit A</w:t>
      </w:r>
      <w:r>
        <w:rPr>
          <w:rFonts w:ascii="Times New Roman;serif" w:hAnsi="Times New Roman;serif"/>
          <w:b/>
          <w:color w:val="000000"/>
          <w:sz w:val="24"/>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4"/>
        </w:rPr>
        <w:t xml:space="preserve">acknowledge receipt of a copy of the Plan;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4"/>
        </w:rPr>
        <w:t xml:space="preserve">acknowledge that Participant has reviewed the Plan and this Award Agreement in their entirety, has had an opportunity to obtain the advice of counsel prior to executing this Award Agreement, and fully understands all provisions of the Plan and this Award Agreement; </w: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4"/>
        </w:rPr>
        <w:t xml:space="preserve">agree to accept as binding, conclusive, and final all decisions or interpretations of the Committee upon any questions relating to the Plan and the Award Agreement; and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4"/>
        </w:rPr>
        <w:t xml:space="preserve">agree to notify the Company upon any change in his or her residence address.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TERMS AND CONDITIONS OF RESTRICTED STOCK UNIT GRANT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RSUs</w:t>
      </w:r>
      <w:r>
        <w:rPr>
          <w:rFonts w:ascii="Times New Roman;serif" w:hAnsi="Times New Roman;serif"/>
          <w:b w:val="false"/>
          <w:color w:val="000000"/>
          <w:sz w:val="24"/>
        </w:rPr>
        <w:t>. The Company hereby grants to the individual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named in the Notice of Restricted Stock Unit Grant of this Award Agreement (the “</w:t>
      </w:r>
      <w:r>
        <w:rPr>
          <w:rFonts w:ascii="Times New Roman;serif" w:hAnsi="Times New Roman;serif"/>
          <w:b w:val="false"/>
          <w:color w:val="000000"/>
          <w:sz w:val="24"/>
          <w:u w:val="single"/>
        </w:rPr>
        <w:t>Notice of Grant</w:t>
      </w:r>
      <w:r>
        <w:rPr>
          <w:color w:val="000000"/>
        </w:rPr>
        <w:t>”</w:t>
      </w:r>
      <w:r>
        <w:rPr>
          <w:rFonts w:ascii="Times New Roman;serif" w:hAnsi="Times New Roman;serif"/>
          <w:b w:val="false"/>
          <w:color w:val="000000"/>
          <w:sz w:val="24"/>
        </w:rPr>
        <w:t>) under the Plan an Award of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xml:space="preserve">),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shall prevail, </w:t>
      </w:r>
      <w:r>
        <w:rPr>
          <w:rFonts w:ascii="Times New Roman;serif" w:hAnsi="Times New Roman;serif"/>
          <w:b w:val="false"/>
          <w:color w:val="000000"/>
          <w:sz w:val="24"/>
          <w:u w:val="single"/>
        </w:rPr>
        <w:t>except to the extent this Award Agreement expressly provides otherwise</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Company’s Obligation to Deliver and Settle</w:t>
      </w:r>
      <w:r>
        <w:rPr>
          <w:rFonts w:ascii="Times New Roman;serif" w:hAnsi="Times New Roman;serif"/>
          <w:b w:val="false"/>
          <w:color w:val="000000"/>
          <w:sz w:val="24"/>
        </w:rPr>
        <w:t>. Each RSU represents the right to receive one share of the Company’s Class A common stock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xml:space="preserve">), subject to the terms of this Award Agreement. Unless and until the RSUs will have vested, Participant will have no right to settlement of any such RSUs. Prior to actual settlement of any vested RSUs, such RSUs will represent an unsecured obligation of the Company, payable (if at all) only from the general assets of the Company.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The RSUs awarded by this Award Agreement will vest in accordance with the Vesting Schedule included in the Notice of Grant, subject to the Participant’s continuous service with the Company and or its applicable Affiliates through each applicable vesting date. Unless determined otherwise by the Committee, all unvested RSUs shall be immediately forfeited upon the Participant’s Termination of Service for any reason.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In the event of a Change in Control:</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RSUs are not continued, assumed, substituted or replaced by the Company (if it is the surviving corporation) or a successor or surviving entity (or a parent or subsidiary thereof) with cash, securities, rights or other property having substantially the same terms and value as the RSUs and, if applicable, substantially the same transferability as the Shares underlying the RSUs, then the RSUs shall immediately vest and settle in accordance with the terms of this Agreement.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Section 3 of this Award Agreement, in the event of the Participant’s Termination of Service without Cause or for Good Reason (as defined below) during the six-month period immediately preceding a Change in Control, the unvested RSUs that would otherwise have been forfeited upon such Termination of Service shall remain outstanding through the Change in Control and shall immediately vest upon the Change in Control. If the RSUs are continued, assumed, substituted or replaced by the Company (if it is the surviving corporation) or a successor or surviving entity (or a parent or subsidiary thereof) with cash, securities, rights or other property having substantially the same terms and value as the RSUs and, if applicable, substantially the same transferability as the Shares underlying the RSUs (such continued, assumed, substituted or replaced award, a “</w:t>
      </w:r>
      <w:r>
        <w:rPr>
          <w:rFonts w:ascii="Times New Roman;serif" w:hAnsi="Times New Roman;serif"/>
          <w:b w:val="false"/>
          <w:color w:val="000000"/>
          <w:sz w:val="24"/>
          <w:u w:val="single"/>
        </w:rPr>
        <w:t>Continued Award</w:t>
      </w:r>
      <w:r>
        <w:rPr>
          <w:color w:val="000000"/>
        </w:rPr>
        <w:t>”</w:t>
      </w:r>
      <w:r>
        <w:rPr>
          <w:rFonts w:ascii="Times New Roman;serif" w:hAnsi="Times New Roman;serif"/>
          <w:b w:val="false"/>
          <w:color w:val="000000"/>
          <w:sz w:val="24"/>
        </w:rPr>
        <w:t>), then the Continued Award shall remain outstanding and continue to vest in accordance with its terms; provided, that in the event of the Participant’s Termination of Service without Cause or for Good Reason during the two-year period immediately following the Change in Control, the unvested portion of the Continued Award shall immediately vest upon such Termination of Service.</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without the Participant’s consent:</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 material diminution in the Participant’s title, duties, or responsibilities;</w:t>
      </w:r>
    </w:p>
    <w:p>
      <w:pPr>
        <w:pStyle w:val="TextBody"/>
        <w:bidi w:val="0"/>
        <w:spacing w:before="240" w:after="283"/>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a material reduction in the Participant’s base salary or target annual bonus opportunity (other than pursuant to an across-the-board reduction applicable to all executives of the Company);</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the relocation of the Participant’s principal place of employment of more than 35 miles from its then current location; or</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any material breach by the Company of this Award Agreement or any other written agreement by the Participant and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 event shall constitute Good Reason unless (x) the Participant provides the Company with written notice of the event or condition alleged to constitute Good Reason within thirty (30) days after its initial occurrence, (y) the Company fails to cure such event or condition within thirty (30) days after receiving such notice, and (z) the Participant terminated employment within 30 days after the expiration of such cure period.</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anything to the contrary in the Plan or this Award Agreement, solely for purposes of this Award Agreement and the RSUs granted hereunder, a “Change in Control” shall also be deemed to occur if Jabbok Schlacks and William Schlacks (the “</w:t>
      </w:r>
      <w:r>
        <w:rPr>
          <w:rFonts w:ascii="Times New Roman;serif" w:hAnsi="Times New Roman;serif"/>
          <w:b w:val="false"/>
          <w:color w:val="000000"/>
          <w:sz w:val="24"/>
          <w:u w:val="single"/>
        </w:rPr>
        <w:t>Existing Controlling Owners</w:t>
      </w:r>
      <w:r>
        <w:rPr>
          <w:color w:val="000000"/>
        </w:rPr>
        <w:t>”</w:t>
      </w:r>
      <w:r>
        <w:rPr>
          <w:rFonts w:ascii="Times New Roman;serif" w:hAnsi="Times New Roman;serif"/>
          <w:b w:val="false"/>
          <w:color w:val="000000"/>
          <w:sz w:val="24"/>
        </w:rPr>
        <w:t>) cease to collectively beneficially own, directly or indirectly, 50% or more of the total voting power of the Company’s stock, whether as a result of one transaction or a series of transactions (including as a result of any issuance of equity securities by the Company) and regardless of whether any other Person becomes the Beneficial Owner of 50% or more of the total voting power of the Company’s stock (a “</w:t>
      </w:r>
      <w:r>
        <w:rPr>
          <w:rFonts w:ascii="Times New Roman;serif" w:hAnsi="Times New Roman;serif"/>
          <w:b w:val="false"/>
          <w:color w:val="000000"/>
          <w:sz w:val="24"/>
          <w:u w:val="single"/>
        </w:rPr>
        <w:t>Supplemental CIC Event</w:t>
      </w:r>
      <w:r>
        <w:rPr>
          <w:color w:val="000000"/>
        </w:rPr>
        <w:t>”</w:t>
      </w:r>
      <w:r>
        <w:rPr>
          <w:rFonts w:ascii="Times New Roman;serif" w:hAnsi="Times New Roman;serif"/>
          <w:b w:val="false"/>
          <w:color w:val="000000"/>
          <w:sz w:val="24"/>
        </w:rPr>
        <w: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a Supplemental CIC Event shall not be deemed to have occurred solely as a result of (x) any transfer of equity interests in the Company by one Existing Controlling Owner to the other Existing Controlling Owner, (y) any transfer of equity interests in the Company by an Existing Controlling Owner to a trust or other estate-planning vehicle for the benefit of such Existing Controlling Owner or his family members, (z) any donation of equity interests in the Company by an Existing Controlling Owner to a charity or other non-profit organization, or (aa) the transfer of any Existing Controlling Owner’s equity interests upon his death, by will or intestacy, or pursuant to any domestic relations order.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Settlement after Vesting</w:t>
      </w:r>
      <w:r>
        <w:rPr>
          <w:rFonts w:ascii="Times New Roman;serif" w:hAnsi="Times New Roman;serif"/>
          <w:b w:val="false"/>
          <w:color w:val="000000"/>
          <w:sz w:val="24"/>
        </w:rPr>
        <w:t>. Subject to Section 7, any vested RSUs will be settled to Participant (or in the event of Participant’s death, to his or her properly designated beneficiary or estate) in whole Shares. Such vested RSUs shall be settled in whole Shares as soon as practicable after the applicable vesting date, but in each such case within sixty (60) days following the applicable vesting date, and in no event later than the date that is two and one-half months following the end of the fiscal year of the Company in which the RSUs cease to be subject to a substantial risk of forfeiture within the meaning of Section 409A of the Code. In no event will Participant be permitted, directly or indirectly, to specify the taxable year of payment of any vested RSUs payable under this Award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Tax Obligations</w:t>
      </w:r>
      <w:r>
        <w:rPr>
          <w:rFonts w:ascii="Times New Roman;serif" w:hAnsi="Times New Roman;serif"/>
          <w:b w:val="false"/>
          <w:color w:val="000000"/>
          <w:sz w:val="24"/>
        </w:rPr>
        <w:t>.</w:t>
      </w:r>
    </w:p>
    <w:p>
      <w:pPr>
        <w:pStyle w:val="TextBody"/>
        <w:bidi w:val="0"/>
        <w:spacing w:before="240" w:after="283"/>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Responsibility for Taxes</w:t>
      </w:r>
      <w:r>
        <w:rPr>
          <w:rFonts w:ascii="Times New Roman;serif" w:hAnsi="Times New Roman;serif"/>
          <w:b w:val="false"/>
          <w:color w:val="000000"/>
          <w:sz w:val="24"/>
        </w:rPr>
        <w:t>. Participant acknowledges that, regardless of any action taken by the Company or, if different, Participant’s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or Subsidiary to which Participant is providing services (together, the Company, Employer or Subsidiary to which Participant is providing services, the “</w:t>
      </w:r>
      <w:r>
        <w:rPr>
          <w:rFonts w:ascii="Times New Roman;serif" w:hAnsi="Times New Roman;serif"/>
          <w:b w:val="false"/>
          <w:color w:val="000000"/>
          <w:sz w:val="24"/>
          <w:u w:val="single"/>
        </w:rPr>
        <w:t>Service Recipient</w:t>
      </w:r>
      <w:r>
        <w:rPr>
          <w:color w:val="000000"/>
        </w:rPr>
        <w:t>”</w:t>
      </w:r>
      <w:r>
        <w:rPr>
          <w:rFonts w:ascii="Times New Roman;serif" w:hAnsi="Times New Roman;serif"/>
          <w:b w:val="false"/>
          <w:color w:val="000000"/>
          <w:sz w:val="24"/>
        </w:rPr>
        <w:t>), the ultimate liability for any income tax, social insurance, payroll tax, fringe benefits tax, payment on account or other tax-related items related to Participant’s participation in the Plan and legally applicable to Participant (collectively, the “</w:t>
      </w:r>
      <w:r>
        <w:rPr>
          <w:rFonts w:ascii="Times New Roman;serif" w:hAnsi="Times New Roman;serif"/>
          <w:b w:val="false"/>
          <w:color w:val="000000"/>
          <w:sz w:val="24"/>
          <w:u w:val="single"/>
        </w:rPr>
        <w:t>Tax Obligations</w:t>
      </w:r>
      <w:r>
        <w:rPr>
          <w:color w:val="000000"/>
        </w:rPr>
        <w:t>”</w:t>
      </w:r>
      <w:r>
        <w:rPr>
          <w:rFonts w:ascii="Times New Roman;serif" w:hAnsi="Times New Roman;serif"/>
          <w:b w:val="false"/>
          <w:color w:val="000000"/>
          <w:sz w:val="24"/>
        </w:rPr>
        <w:t xml:space="preserve">), is and remains Participant’s responsibility and may exceed the amount, if any, actually withheld by the Company or the Service Recipient. Further, if Participant is subject to Tax Obligations in more than one jurisdiction,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or proceeds from the sale of Shares.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Tax Withholding and Default Sell-to-Cover Method of Tax Withholding</w:t>
      </w:r>
      <w:r>
        <w:rPr>
          <w:rFonts w:ascii="Times New Roman;serif" w:hAnsi="Times New Roman;serif"/>
          <w:b w:val="false"/>
          <w:color w:val="000000"/>
          <w:sz w:val="24"/>
        </w:rPr>
        <w:t>. Prior to any relevant taxable or tax withholding event, as applicable, Participant agrees to make adequate arrangements satisfactory to the Company and/or the Service Recipient to satisfy all Tax Obligations. Subject to Section 7(c), the Tax Obligations which the Company determines must be withheld with respect to this Award (“</w:t>
      </w:r>
      <w:r>
        <w:rPr>
          <w:rFonts w:ascii="Times New Roman;serif" w:hAnsi="Times New Roman;serif"/>
          <w:b w:val="false"/>
          <w:color w:val="000000"/>
          <w:sz w:val="24"/>
          <w:u w:val="single"/>
        </w:rPr>
        <w:t>Tax Withholding Obligation</w:t>
      </w:r>
      <w:r>
        <w:rPr>
          <w:color w:val="000000"/>
        </w:rPr>
        <w:t>”</w:t>
      </w:r>
      <w:r>
        <w:rPr>
          <w:rFonts w:ascii="Times New Roman;serif" w:hAnsi="Times New Roman;serif"/>
          <w:b w:val="false"/>
          <w:color w:val="000000"/>
          <w:sz w:val="24"/>
        </w:rPr>
        <w:t>) will be satisfied with consideration received under a formal, broker-assisted cashless program adopted by the Company in connection with the Plan pursuant to this authorization (the “</w:t>
      </w:r>
      <w:r>
        <w:rPr>
          <w:rFonts w:ascii="Times New Roman;serif" w:hAnsi="Times New Roman;serif"/>
          <w:b w:val="false"/>
          <w:color w:val="000000"/>
          <w:sz w:val="24"/>
          <w:u w:val="single"/>
        </w:rPr>
        <w:t>Sell-to-Cover Method</w:t>
      </w:r>
      <w:r>
        <w:rPr>
          <w:color w:val="000000"/>
        </w:rPr>
        <w:t>”</w:t>
      </w:r>
      <w:r>
        <w:rPr>
          <w:rFonts w:ascii="Times New Roman;serif" w:hAnsi="Times New Roman;serif"/>
          <w:b w:val="false"/>
          <w:color w:val="000000"/>
          <w:sz w:val="24"/>
        </w:rPr>
        <w:t xml:space="preserve">). In addition to Shares sold to satisfy the Tax Withholding Obligation, additional Shares may be sold to satisfy any associated broker or other fees. Only whole Shares will be sold through the Sell-to-Cover Method to satisfy any Tax Withholding Obligation and any associated broker or other fees. Any proceeds from the sale of Shares in excess of the Tax Withholding Obligation and any associated broker or other fees generated through the Sell-to-Cover Method will be paid to Participant in accordance with procedures the Company may specify from time to time. </w:t>
      </w:r>
      <w:r>
        <w:rPr>
          <w:rFonts w:ascii="Times New Roman;serif" w:hAnsi="Times New Roman;serif"/>
          <w:b/>
          <w:color w:val="000000"/>
          <w:sz w:val="24"/>
        </w:rPr>
        <w:t>By accepting this Award, Participant expressly consents to the sale of Shares to cover the Tax Withholding Obligation (and any associated broker or other fees) through the Sell-to-Cover Method.</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Committee Discretion</w:t>
      </w:r>
      <w:r>
        <w:rPr>
          <w:rFonts w:ascii="Times New Roman;serif" w:hAnsi="Times New Roman;serif"/>
          <w:b w:val="false"/>
          <w:color w:val="000000"/>
          <w:sz w:val="24"/>
        </w:rPr>
        <w:t xml:space="preserve">. Notwithstanding the foregoing Sections 7(a) and 7(b), if the Committee determines it is in the best interests of the Company for Participant to satisfy Participant’s Tax Withholding Obligation by a method other than through the default Sell-to-Cover Method described in Section 6(b), it may permit or require Participant to satisfy Participant’s Tax Withholding Obligation, in whole or in part (without limitation), if permissible by Applicable Laws, with (i) cash in U.S. dollars, (ii) check designated in U.S. dollars, (iii) withholding from Participant's wages or other cash compensation paid to Participant by the Company and/or the Service Recipient, (iv) withholding in Shares otherwise issuable upon settlement of the vested RSUs or (v) any other method (or combination thereof) approved in the sole discretion of the Committee.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Depending on the withholding method, the Company and/or the Service Recipient may withhold or account for the Tax Withholding Obligation by considering minimum statutory withholding rates or other withholding rates, including maximum applicable rates in Participant’s jurisdiction, in which case Participant may receive a refund of any over-withheld amount in cash and will have no entitlement to the equivalent in Shares. If the Tax Withholding Obligation is satisfied by withholding in Shares, for tax purposes, Participant will be deemed to have been issued the full number of Shares subject to the vested RSUs, notwithstanding that a number of Shares are held back solely for the purpose of satisfying the Tax Withholding Obligation.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xml:space="preserve">. Neither Participant nor any person claiming under or through Participant will have any of the rights or privileges of a stockholder of the Company in respect of </w:t>
      </w:r>
    </w:p>
    <w:p>
      <w:pPr>
        <w:pStyle w:val="TextBody"/>
        <w:bidi w:val="0"/>
        <w:spacing w:before="240" w:after="283"/>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Grant Is Not Transferable</w:t>
      </w:r>
      <w:r>
        <w:rPr>
          <w:rFonts w:ascii="Times New Roman;serif" w:hAnsi="Times New Roman;serif"/>
          <w:b w:val="false"/>
          <w:color w:val="000000"/>
          <w:sz w:val="24"/>
        </w:rPr>
        <w:t xml:space="preserve">. Except to the limited extent provided in Section 6, Section 13(d) of the Plan will govern the transferability of the RSUs.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grant, Participant acknowledges, understands and agrees that: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grant of RSUs is exceptional, voluntary and occasional and does not create any contractual right to receive future grants of RSUs, or benefits in lieu of RSUs, even if RSUs have been granted in the past;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decisions with respect to future grants of Awards, if any, will be at the sole discretion of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Participant is voluntarily participating in the Plan;</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future value of the Shares underlying the RSUs is unknown, indeterminable and cannot be predicted with certainty;</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purposes of the RSUs, Participant’s status as a Service Provider will be considered terminated as of the date Participant is no longer actively providing services to the Company or any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the Committee shall have the exclusive discretion to determine when Participant is no longer actively providing services for purposes of the RSUs (including whether Participant may still be considered to be providing services while on a leave of absence and consistent with local law); and</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unless otherwise agreed with the Company, the RSUs and Shares subject to the RSUs, and the income from and value of same, are not granted as consideration for, or in connection with, the service Participant may provide as a director of a Subsidiary.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Tax Consequences and Acknowledgements</w:t>
      </w:r>
      <w:r>
        <w:rPr>
          <w:rFonts w:ascii="Times New Roman;serif" w:hAnsi="Times New Roman;serif"/>
          <w:b w:val="false"/>
          <w:color w:val="000000"/>
          <w:sz w:val="24"/>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has reviewed with his or her own tax advisors the federal, state, local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Participant acknowledges that the Company and/or the Service Recipient (i) make no representations or undertakings regarding the treatment of any Tax Obligations in connection with any aspect of the RSUs, including, but not limited to, the grant, vesting or settlement of the RSUs, the subsequent sale of Shares acquired pursuant to such settlement and the </w:t>
      </w:r>
    </w:p>
    <w:p>
      <w:pPr>
        <w:pStyle w:val="TextBody"/>
        <w:bidi w:val="0"/>
        <w:spacing w:before="24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receipt of any dividends or other distributions, and (ii) do not commit to and are under no obligation to structure the terms of the grant or any aspect of the RSUs to reduce or eliminate Participant’s liability for Tax Obligations or achieve any particular tax result.</w:t>
      </w:r>
      <w:r>
        <w:rPr>
          <w:color w:val="000000"/>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Clawback</w:t>
      </w:r>
      <w:r>
        <w:rPr>
          <w:rFonts w:ascii="Times New Roman;serif" w:hAnsi="Times New Roman;serif"/>
          <w:b w:val="false"/>
          <w:color w:val="000000"/>
          <w:sz w:val="24"/>
        </w:rPr>
        <w:t>. The RSUs and the Shares subject to the RSUs delivered under this award shall be subject to any policy of the Company’s regarding the recovery of erroneously awarded compensation, including the Company’s Compensation Recoupment Policy and any other policy as adopted in compliance with Section 10D of the Exchange Act and applicable stock exchange rules, to the extent such policy covers this Award. In addition, the RSUs and the Shares subject to the RSUs delivered under this Award shall be subject to forfeiture, recovery and/or repayment to the Company, as determined by the Board in its sole discretion, in the event that (i) the Participant engages in fraud, material misconduct, or a violation of the Company’s code of conduct or restrictive covenants, or (ii) the Participant’s actions or omissions result in material reputational harm to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Award Agreement will be addressed to the Company at EquipmentShare.com Inc, 5710 Bull Run Drive, Columbia, MO 65201 United States or at such other address as the Company may hereafter designate in writing.</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Language</w:t>
      </w:r>
      <w:r>
        <w:rPr>
          <w:rFonts w:ascii="Times New Roman;serif" w:hAnsi="Times New Roman;serif"/>
          <w:b w:val="false"/>
          <w:color w:val="000000"/>
          <w:sz w:val="24"/>
        </w:rPr>
        <w:t xml:space="preserve">. Participant acknowledges that he or she is sufficiently proficient in English, or has consulted with an advisor who is sufficiently proficient in English, so as to allow Participant to understand the terms and conditions of the Award Agreement. If Participant has received the Award Agreement or any other document related to the Plan translated into a language other than English, and if the meaning of the translated version is different than the English version, the English version will control.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Award Agreement to single or multiple assignees, and this Award Agreement shall be binding upon and inure to the benefit of any assignee or successor of the Company. Subject to the restrictions on transfer set forth herein and in the Plan, this Award Agreement shall be binding upon Participant and his or her heirs, executors, administrators, successors and assigns. The rights and obligations of Participant under this Award Agreement may only be assigned with the prior written consent of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Interpretation</w:t>
      </w:r>
      <w:r>
        <w:rPr>
          <w:rFonts w:ascii="Times New Roman;serif" w:hAnsi="Times New Roman;serif"/>
          <w:b w:val="false"/>
          <w:color w:val="000000"/>
          <w:sz w:val="24"/>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The Committee’s decisions, determinations and interpretations will be final and binding on Participant and any other holders of the RSUs or other interested persons. Neither the Committee nor any person acting on behalf of the Committee will be personally liable for any action, determination, or interpretation made in good faith with respect to the Plan or this Award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Award Agreement.</w:t>
      </w:r>
    </w:p>
    <w:p>
      <w:pPr>
        <w:pStyle w:val="TextBody"/>
        <w:bidi w:val="0"/>
        <w:spacing w:before="240" w:after="283"/>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xml:space="preserve">. In the event that any provision in this Award Agreement will be held invalid or unenforceable, such provision will be severable from, and such invalidity or unenforceability will not be construed to have any effect on, the remaining provisions of this Award Agreement.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xml:space="preserve">.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Insider Trading Restrictions/Market Abuse Laws</w:t>
      </w:r>
      <w:r>
        <w:rPr>
          <w:rFonts w:ascii="Times New Roman;serif" w:hAnsi="Times New Roman;serif"/>
          <w:b w:val="false"/>
          <w:color w:val="000000"/>
          <w:sz w:val="24"/>
        </w:rPr>
        <w:t xml:space="preserve">. Participant may be subject to insider trading restrictions and/or market abuse laws in applicable jurisdictions,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consult his or her personal legal advisor on this matter.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Participant expressly warrants that he or she has received an Award of RSUs under the Plan, and has received, read, and understood a description of the Plan. Participant understands that the Plan is discretionary in nature and may be amended, suspended or terminated by the Company at any time.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Modifications to the Award Agreement</w:t>
      </w:r>
      <w:r>
        <w:rPr>
          <w:rFonts w:ascii="Times New Roman;serif" w:hAnsi="Times New Roman;serif"/>
          <w:b w:val="false"/>
          <w:color w:val="000000"/>
          <w:sz w:val="24"/>
        </w:rPr>
        <w:t>. Participant expressly warrants that he or she is not accepting this Award Agreement in reliance on any promises, representations, or inducements other than those contained herein. Subject to Sections 5(c) and 14 of the Plan,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409A of the Code in connection with this Award of RSUs.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No Waiver</w:t>
      </w:r>
      <w:r>
        <w:rPr>
          <w:rFonts w:ascii="Times New Roman;serif" w:hAnsi="Times New Roman;serif"/>
          <w:b w:val="false"/>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Governing Law and Venue</w:t>
      </w:r>
      <w:r>
        <w:rPr>
          <w:rFonts w:ascii="Times New Roman;serif" w:hAnsi="Times New Roman;serif"/>
          <w:b w:val="false"/>
          <w:color w:val="000000"/>
          <w:sz w:val="24"/>
        </w:rPr>
        <w:t xml:space="preserve">. This Award Agreement and the RSUs will be governed by the laws of the State of Texas, without giving effect to the conflict of law principles thereof. For purposes of litigating any dispute that arises under these RSUs or this Award Agreement, the parties hereby submit to and consent to the jurisdiction of the State of Texas, and agree that such litigation will be conducted in any United States federal court located in the State of Texas or any other state court in the State of Texas, and no other courts.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the parties hereto hereby irrevocably waives any and all right to trial by jury in any legal proceeding arising out of or related to this Award Agreement or the transactions contemplated hereby.</w:t>
      </w:r>
    </w:p>
    <w:p>
      <w:pPr>
        <w:pStyle w:val="TextBody"/>
        <w:bidi w:val="0"/>
        <w:spacing w:before="240" w:after="283"/>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Adjustment</w:t>
      </w:r>
      <w:r>
        <w:rPr>
          <w:rFonts w:ascii="Times New Roman;serif" w:hAnsi="Times New Roman;serif"/>
          <w:b w:val="false"/>
          <w:color w:val="000000"/>
          <w:sz w:val="24"/>
        </w:rPr>
        <w:t xml:space="preserve">. This Award shall be subject to adjustment in accordance with Section 5(c) of the Plan, the terms of which are incorporated herein by reference.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w:t>
      </w:r>
    </w:p>
    <w:p>
      <w:pPr>
        <w:pStyle w:val="TextBody"/>
        <w:bidi w:val="0"/>
        <w:spacing w:before="24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40" w:before="240" w:after="283"/>
        <w:jc w:val="center"/>
        <w:rPr>
          <w:rFonts w:ascii="Times New Roman;serif" w:hAnsi="Times New Roman;serif"/>
          <w:b/>
          <w:color w:val="000000"/>
          <w:sz w:val="22"/>
        </w:rPr>
      </w:pPr>
      <w:r>
        <w:rPr>
          <w:rFonts w:ascii="Times New Roman;serif" w:hAnsi="Times New Roman;serif"/>
          <w:b/>
          <w:color w:val="000000"/>
          <w:sz w:val="22"/>
        </w:rPr>
        <w:t>CERTIFICATION OF THE PRINCIPAL EXECUTIVE OFFICER PURSUANT TO RULES 13A-14(A) AND 15D-14(A) UNDER THE SECURITIES EXCHANGE ACT OF 1934, AS ADOPTED PURSUANT TO SECTION 302 OF THE SARBANES-OXLEY ACT OF 2002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Jabbok Schlacks, certify that: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EquipmentShare.com Inc for the period ended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August 13, 2026</w:t>
      </w:r>
    </w:p>
    <w:tbl>
      <w:tblPr>
        <w:tblW w:w="3295" w:type="dxa"/>
        <w:jc w:val="left"/>
        <w:tblInd w:w="0" w:type="dxa"/>
        <w:tblLayout w:type="fixed"/>
        <w:tblCellMar>
          <w:top w:w="28" w:type="dxa"/>
          <w:left w:w="28" w:type="dxa"/>
          <w:bottom w:w="28" w:type="dxa"/>
          <w:right w:w="28" w:type="dxa"/>
        </w:tblCellMar>
      </w:tblPr>
      <w:tblGrid>
        <w:gridCol w:w="297"/>
        <w:gridCol w:w="261"/>
        <w:gridCol w:w="263"/>
        <w:gridCol w:w="723"/>
        <w:gridCol w:w="723"/>
        <w:gridCol w:w="1028"/>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Jabbok Schlacks  </w:t>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Jabbok Schlacks</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474"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10" name="Frame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40" w:before="240" w:after="283"/>
        <w:jc w:val="center"/>
        <w:rPr>
          <w:rFonts w:ascii="Times New Roman;serif" w:hAnsi="Times New Roman;serif"/>
          <w:b/>
          <w:color w:val="000000"/>
          <w:sz w:val="22"/>
        </w:rPr>
      </w:pPr>
      <w:r>
        <w:rPr>
          <w:rFonts w:ascii="Times New Roman;serif" w:hAnsi="Times New Roman;serif"/>
          <w:b/>
          <w:color w:val="000000"/>
          <w:sz w:val="22"/>
        </w:rPr>
        <w:t>CERTIFICATION OF THE PRINCIPAL FINANCIAL OFFICER PURSUANT TO RULES 13A-14(A) AND 15D-14(A) UNDER THE SECURITIES EXCHANGE ACT OF 1934, AS ADOPTED PURSUANT TO SECTION 302 OF THE SARBANES-OXLEY ACT OF 2002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David Marquardt, certify that: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EquipmentShare.com Inc for the period ended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August 13, 2026</w:t>
      </w:r>
    </w:p>
    <w:tbl>
      <w:tblPr>
        <w:tblW w:w="5275" w:type="dxa"/>
        <w:jc w:val="left"/>
        <w:tblInd w:w="0" w:type="dxa"/>
        <w:tblLayout w:type="fixed"/>
        <w:tblCellMar>
          <w:top w:w="28" w:type="dxa"/>
          <w:left w:w="28" w:type="dxa"/>
          <w:bottom w:w="28" w:type="dxa"/>
          <w:right w:w="28" w:type="dxa"/>
        </w:tblCellMar>
      </w:tblPr>
      <w:tblGrid>
        <w:gridCol w:w="297"/>
        <w:gridCol w:w="261"/>
        <w:gridCol w:w="263"/>
        <w:gridCol w:w="1304"/>
        <w:gridCol w:w="1304"/>
        <w:gridCol w:w="184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David Marquardt  </w:t>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David Marquardt</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4454"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1"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EquipmentShare.com Inc (the “Company”) on Form 10-Q for the period ended June 30, 2026 as filed with the Securities and Exchange Commission (the “Quarterly Report”), I, Jabbok Schlacks,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Quarterly Report fully complies with the requirements of Section 13(a) or 15(d) of the Securities Exchange Act of 1934,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information contained in the Quarterly Report fairly presents, in all material respects, the financial condition and results of operations of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August 13, 2026</w:t>
      </w:r>
    </w:p>
    <w:tbl>
      <w:tblPr>
        <w:tblW w:w="4027" w:type="dxa"/>
        <w:jc w:val="left"/>
        <w:tblInd w:w="0" w:type="dxa"/>
        <w:tblLayout w:type="fixed"/>
        <w:tblCellMar>
          <w:top w:w="28" w:type="dxa"/>
          <w:left w:w="28" w:type="dxa"/>
          <w:bottom w:w="28" w:type="dxa"/>
          <w:right w:w="28" w:type="dxa"/>
        </w:tblCellMar>
      </w:tblPr>
      <w:tblGrid>
        <w:gridCol w:w="297"/>
        <w:gridCol w:w="261"/>
        <w:gridCol w:w="263"/>
        <w:gridCol w:w="944"/>
        <w:gridCol w:w="944"/>
        <w:gridCol w:w="9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834"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 Jabbok Schlacks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Jabbok Schlacks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834"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ableContents"/>
              <w:bidi w:val="0"/>
              <w:spacing w:before="240" w:after="283"/>
              <w:ind w:left="0" w:right="0" w:firstLine="72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12"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EquipmentShare.com Inc (the “Company”) on Form 10-Q for the period ended June 30, 2026 as filed with the Securities and Exchange Commission (the “Quarterly Report”), I, David Marquardt, Chief Financial Officer and Chief Accounting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Quarterly Report fully complies with the requirements of Section 13(a) or 15(d) of the Securities Exchange Act of 1934,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information contained in the Annual Report fairly presents, in all material respects, the financial condition and results of operations of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August 13, 2026</w:t>
      </w:r>
    </w:p>
    <w:tbl>
      <w:tblPr>
        <w:tblW w:w="6382" w:type="dxa"/>
        <w:jc w:val="left"/>
        <w:tblInd w:w="0" w:type="dxa"/>
        <w:tblLayout w:type="fixed"/>
        <w:tblCellMar>
          <w:top w:w="28" w:type="dxa"/>
          <w:left w:w="28" w:type="dxa"/>
          <w:bottom w:w="28" w:type="dxa"/>
          <w:right w:w="28" w:type="dxa"/>
        </w:tblCellMar>
      </w:tblPr>
      <w:tblGrid>
        <w:gridCol w:w="297"/>
        <w:gridCol w:w="261"/>
        <w:gridCol w:w="263"/>
        <w:gridCol w:w="1728"/>
        <w:gridCol w:w="1728"/>
        <w:gridCol w:w="1733"/>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David Marquardt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David Marquardt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660"/>
                <wp:effectExtent l="0" t="0" r="0" b="0"/>
                <wp:wrapNone/>
                <wp:docPr id="13" name="Frame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3736/000162828026003408/exhibit31-certofformx8xk.htm" TargetMode="External"/><Relationship Id="rId3" Type="http://schemas.openxmlformats.org/officeDocument/2006/relationships/hyperlink" Target="https://www.sec.gov/Archives/edgar/data/1693736/000162828026003408/exhibit32-bylawsx8xk.htm" TargetMode="External"/><Relationship Id="rId4" Type="http://schemas.openxmlformats.org/officeDocument/2006/relationships/hyperlink" Target="https://www.sec.gov/Archives/edgar/data/1693736/000095010326010008/dp249450_ex0401.htm" TargetMode="External"/><Relationship Id="rId5" Type="http://schemas.openxmlformats.org/officeDocument/2006/relationships/hyperlink" Target="https://www.sec.gov/Archives/edgar/data/1693736/000095010326010008/dp249450_ex0401.htm" TargetMode="External"/><Relationship Id="rId6" Type="http://schemas.openxmlformats.org/officeDocument/2006/relationships/hyperlink" Target="https://www.sec.gov/Archives/edgar/data/1693736/000095010326010008/dp249450_ex0401.htm" TargetMode="External"/><Relationship Id="rId7" Type="http://schemas.openxmlformats.org/officeDocument/2006/relationships/hyperlink" Target="https://www.sec.gov/Archives/edgar/data/1693736/000095010326010008/dp249450_ex0401.htm" TargetMode="External"/><Relationship Id="rId8" Type="http://schemas.openxmlformats.org/officeDocument/2006/relationships/hyperlink" Target="https://www.sec.gov/Archives/edgar/data/1693736/000095010326010008/dp249450_ex0401.htm" TargetMode="External"/><Relationship Id="rId9" Type="http://schemas.openxmlformats.org/officeDocument/2006/relationships/hyperlink" Target="https://www.sec.gov/Archives/edgar/data/1693736/000095010326010008/dp249450_ex04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41928</Words>
  <Characters>250218</Characters>
  <CharactersWithSpaces>289070</CharactersWithSpaces>
  <Paragraphs>5382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